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Cambria" w:eastAsia="黑体" w:cs="宋体"/>
          <w:b w:val="0"/>
          <w:bCs w:val="0"/>
          <w:sz w:val="32"/>
          <w:szCs w:val="32"/>
          <w:shd w:val="clear" w:color="auto" w:fill="FFFFFF"/>
          <w:lang w:eastAsia="zh-CN"/>
        </w:rPr>
      </w:pPr>
      <w:r>
        <w:rPr>
          <w:rFonts w:hint="eastAsia" w:ascii="黑体" w:hAnsi="黑体" w:eastAsia="黑体"/>
          <w:b w:val="0"/>
          <w:bCs w:val="0"/>
          <w:kern w:val="2"/>
          <w:sz w:val="32"/>
          <w:szCs w:val="32"/>
          <w:lang w:eastAsia="zh-CN"/>
        </w:rPr>
        <w:t>附件：</w:t>
      </w:r>
      <w:r>
        <w:rPr>
          <w:rFonts w:hint="eastAsia" w:ascii="黑体" w:hAnsi="黑体" w:eastAsia="黑体"/>
          <w:b w:val="0"/>
          <w:bCs w:val="0"/>
          <w:kern w:val="2"/>
          <w:sz w:val="32"/>
          <w:szCs w:val="32"/>
        </w:rPr>
        <w:t>高等职业教育质量年度报告（2019）</w:t>
      </w:r>
      <w:r>
        <w:rPr>
          <w:rFonts w:hint="eastAsia" w:ascii="黑体" w:hAnsi="黑体" w:eastAsia="黑体"/>
          <w:b w:val="0"/>
          <w:bCs w:val="0"/>
          <w:kern w:val="2"/>
          <w:sz w:val="32"/>
          <w:szCs w:val="32"/>
          <w:lang w:eastAsia="zh-CN"/>
        </w:rPr>
        <w:t>相关附件</w:t>
      </w:r>
      <w:bookmarkStart w:id="0" w:name="_GoBack"/>
      <w:bookmarkEnd w:id="0"/>
    </w:p>
    <w:p>
      <w:pPr>
        <w:spacing w:line="520" w:lineRule="exact"/>
        <w:rPr>
          <w:rFonts w:hint="eastAsia" w:ascii="仿宋_GB2312" w:hAnsi="Cambria" w:eastAsia="仿宋_GB2312" w:cs="宋体"/>
          <w:sz w:val="32"/>
          <w:szCs w:val="32"/>
          <w:shd w:val="clear" w:color="auto" w:fill="FFFFFF"/>
        </w:rPr>
      </w:pPr>
    </w:p>
    <w:p>
      <w:pPr>
        <w:spacing w:line="520" w:lineRule="exact"/>
        <w:rPr>
          <w:rFonts w:ascii="仿宋_GB2312" w:hAnsi="Cambria" w:eastAsia="仿宋_GB2312" w:cs="宋体"/>
          <w:sz w:val="32"/>
          <w:szCs w:val="32"/>
          <w:shd w:val="clear" w:color="auto" w:fill="FFFFFF"/>
        </w:rPr>
      </w:pPr>
      <w:r>
        <w:rPr>
          <w:rFonts w:hint="eastAsia" w:ascii="仿宋_GB2312" w:hAnsi="Cambria" w:eastAsia="仿宋_GB2312" w:cs="宋体"/>
          <w:sz w:val="32"/>
          <w:szCs w:val="32"/>
          <w:shd w:val="clear" w:color="auto" w:fill="FFFFFF"/>
        </w:rPr>
        <w:t>附件</w:t>
      </w:r>
      <w:r>
        <w:rPr>
          <w:rFonts w:ascii="仿宋_GB2312" w:hAnsi="Cambria" w:eastAsia="仿宋_GB2312" w:cs="宋体"/>
          <w:sz w:val="32"/>
          <w:szCs w:val="32"/>
          <w:shd w:val="clear" w:color="auto" w:fill="FFFFFF"/>
        </w:rPr>
        <w:t>1</w:t>
      </w:r>
    </w:p>
    <w:p>
      <w:pPr>
        <w:spacing w:after="180" w:afterLines="50"/>
        <w:jc w:val="center"/>
        <w:outlineLvl w:val="0"/>
        <w:rPr>
          <w:rFonts w:ascii="黑体" w:hAnsi="黑体" w:eastAsia="黑体" w:cs="宋体"/>
          <w:sz w:val="36"/>
          <w:szCs w:val="36"/>
        </w:rPr>
      </w:pPr>
      <w:r>
        <w:rPr>
          <w:rFonts w:hint="eastAsia" w:ascii="黑体" w:hAnsi="黑体" w:eastAsia="黑体" w:cs="微软雅黑"/>
          <w:sz w:val="36"/>
          <w:szCs w:val="36"/>
        </w:rPr>
        <w:t>填</w:t>
      </w:r>
      <w:r>
        <w:rPr>
          <w:rFonts w:hint="eastAsia" w:ascii="黑体" w:hAnsi="黑体" w:eastAsia="黑体" w:cs="宋体"/>
          <w:sz w:val="36"/>
          <w:szCs w:val="36"/>
        </w:rPr>
        <w:t xml:space="preserve"> </w:t>
      </w:r>
      <w:r>
        <w:rPr>
          <w:rFonts w:hint="eastAsia" w:ascii="黑体" w:hAnsi="黑体" w:eastAsia="黑体" w:cs="微软雅黑"/>
          <w:sz w:val="36"/>
          <w:szCs w:val="36"/>
        </w:rPr>
        <w:t>写</w:t>
      </w:r>
      <w:r>
        <w:rPr>
          <w:rFonts w:hint="eastAsia" w:ascii="黑体" w:hAnsi="黑体" w:eastAsia="黑体" w:cs="宋体"/>
          <w:sz w:val="36"/>
          <w:szCs w:val="36"/>
        </w:rPr>
        <w:t xml:space="preserve"> </w:t>
      </w:r>
      <w:r>
        <w:rPr>
          <w:rFonts w:hint="eastAsia" w:ascii="黑体" w:hAnsi="黑体" w:eastAsia="黑体" w:cs="微软雅黑"/>
          <w:sz w:val="36"/>
          <w:szCs w:val="36"/>
        </w:rPr>
        <w:t>说</w:t>
      </w:r>
      <w:r>
        <w:rPr>
          <w:rFonts w:hint="eastAsia" w:ascii="黑体" w:hAnsi="黑体" w:eastAsia="黑体" w:cs="宋体"/>
          <w:sz w:val="36"/>
          <w:szCs w:val="36"/>
        </w:rPr>
        <w:t xml:space="preserve"> </w:t>
      </w:r>
      <w:r>
        <w:rPr>
          <w:rFonts w:hint="eastAsia" w:ascii="黑体" w:hAnsi="黑体" w:eastAsia="黑体" w:cs="微软雅黑"/>
          <w:sz w:val="36"/>
          <w:szCs w:val="36"/>
        </w:rPr>
        <w:t>明</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cs="宋体"/>
          <w:sz w:val="28"/>
          <w:szCs w:val="28"/>
          <w:shd w:val="clear" w:color="auto" w:fill="FFFFFF"/>
        </w:rPr>
        <w:t>1.“计分卡”“学生反馈表”“资源表”“国际影响表”“服务贡献表”和“落实政策表”中的</w:t>
      </w:r>
      <w:r>
        <w:rPr>
          <w:rFonts w:hint="eastAsia" w:ascii="仿宋_GB2312" w:hAnsi="Cambria" w:eastAsia="仿宋_GB2312"/>
          <w:sz w:val="28"/>
          <w:szCs w:val="28"/>
        </w:rPr>
        <w:t>“院校代码”须与“高等职业院校人才培养工作状态数据”一致。</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2.“院校名称”须填写学校全称。</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3.数据须与“高等职业院校人才培养工作状态数据”一致。例如，全日制在校生人数、</w:t>
      </w:r>
      <w:r>
        <w:rPr>
          <w:rFonts w:hint="eastAsia" w:ascii="仿宋_GB2312" w:hAnsi="Cambria" w:eastAsia="仿宋_GB2312" w:cs="宋体"/>
          <w:sz w:val="28"/>
          <w:szCs w:val="28"/>
        </w:rPr>
        <w:t>生师比、双师素质专任教师人数、教学计划内课程总数等</w:t>
      </w:r>
      <w:r>
        <w:rPr>
          <w:rFonts w:hint="eastAsia" w:ascii="仿宋_GB2312" w:hAnsi="Cambria" w:eastAsia="仿宋_GB2312"/>
          <w:sz w:val="28"/>
          <w:szCs w:val="28"/>
        </w:rPr>
        <w:t>。</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4.除特别说明外，相关数据统计的截止时间点为2018年8月31日。</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5.请注意对照表格中标注的计量单位，网上填报仅填写数字，小数点后保留两位。</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6.若数据为零值，请填“0”；若该指标无数据，则填“—”；若不填写任何信息，则该指标的数据视为缺失，按“—”处理。</w:t>
      </w:r>
    </w:p>
    <w:p>
      <w:pPr>
        <w:spacing w:after="0" w:line="600" w:lineRule="exact"/>
        <w:ind w:firstLine="560" w:firstLineChars="200"/>
        <w:rPr>
          <w:rFonts w:ascii="Times New Roman" w:hAnsi="Times New Roman" w:eastAsia="方正仿宋_GBK"/>
          <w:sz w:val="28"/>
          <w:szCs w:val="32"/>
        </w:rPr>
      </w:pPr>
      <w:r>
        <w:rPr>
          <w:rFonts w:ascii="Times New Roman" w:hAnsi="Times New Roman" w:eastAsia="方正仿宋_GBK"/>
          <w:sz w:val="28"/>
          <w:szCs w:val="28"/>
        </w:rPr>
        <w:br w:type="page"/>
      </w:r>
      <w:r>
        <w:rPr>
          <w:rFonts w:hint="eastAsia" w:ascii="仿宋_GB2312" w:hAnsi="Cambria" w:eastAsia="仿宋_GB2312"/>
          <w:sz w:val="32"/>
          <w:szCs w:val="32"/>
        </w:rPr>
        <w:t>附件</w:t>
      </w:r>
      <w:r>
        <w:rPr>
          <w:rFonts w:ascii="仿宋_GB2312" w:hAnsi="Cambria" w:eastAsia="仿宋_GB2312"/>
          <w:sz w:val="32"/>
          <w:szCs w:val="32"/>
        </w:rPr>
        <w:t>2</w:t>
      </w:r>
    </w:p>
    <w:p>
      <w:pPr>
        <w:spacing w:after="180" w:afterLines="50"/>
        <w:jc w:val="center"/>
        <w:outlineLvl w:val="0"/>
        <w:rPr>
          <w:rFonts w:ascii="黑体" w:hAnsi="黑体" w:eastAsia="黑体" w:cs="微软雅黑"/>
          <w:sz w:val="36"/>
          <w:szCs w:val="36"/>
        </w:rPr>
      </w:pPr>
      <w:r>
        <w:rPr>
          <w:rFonts w:hint="eastAsia" w:ascii="黑体" w:hAnsi="黑体" w:eastAsia="黑体" w:cs="微软雅黑"/>
          <w:sz w:val="36"/>
          <w:szCs w:val="36"/>
        </w:rPr>
        <w:t>“计分卡”指标及相关内涵说明</w:t>
      </w:r>
    </w:p>
    <w:p>
      <w:pPr>
        <w:spacing w:after="0"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“计分卡”系综合衡量院校人才培养质量的管理评价工具。</w:t>
      </w:r>
    </w:p>
    <w:p>
      <w:pPr>
        <w:spacing w:after="0"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1.毕业生“就业率”的分子为已就业毕业生人数，分母为毕业生总人数。已就业毕业生包括：受雇全职工作人员、受雇半职工作人员、自主创业就业人员、毕业后入伍人员、毕业后读本科人员。</w:t>
      </w:r>
    </w:p>
    <w:p>
      <w:pPr>
        <w:spacing w:after="0" w:line="520" w:lineRule="exact"/>
        <w:ind w:firstLine="560" w:firstLineChars="200"/>
        <w:rPr>
          <w:rFonts w:ascii="仿宋_GB2312" w:hAnsi="Cambria" w:eastAsia="仿宋_GB2312"/>
          <w:sz w:val="28"/>
          <w:szCs w:val="28"/>
        </w:rPr>
      </w:pPr>
      <w:r>
        <w:rPr>
          <w:rFonts w:ascii="仿宋_GB2312" w:hAnsi="Cambria" w:eastAsia="仿宋_GB2312"/>
          <w:sz w:val="28"/>
          <w:szCs w:val="28"/>
        </w:rPr>
        <w:t>2.</w:t>
      </w:r>
      <w:r>
        <w:rPr>
          <w:rFonts w:hint="eastAsia" w:ascii="仿宋_GB2312" w:hAnsi="Cambria" w:eastAsia="仿宋_GB2312"/>
          <w:sz w:val="28"/>
          <w:szCs w:val="28"/>
        </w:rPr>
        <w:t>“月收入”指包含奖金、提成、住宿、住房公积金等折算成的现金总和。</w:t>
      </w:r>
    </w:p>
    <w:p>
      <w:pPr>
        <w:spacing w:after="0" w:line="520" w:lineRule="exact"/>
        <w:ind w:firstLine="560" w:firstLineChars="200"/>
        <w:rPr>
          <w:rFonts w:ascii="仿宋_GB2312" w:hAnsi="Cambria" w:eastAsia="仿宋_GB2312"/>
          <w:sz w:val="28"/>
          <w:szCs w:val="28"/>
        </w:rPr>
      </w:pPr>
      <w:r>
        <w:rPr>
          <w:rFonts w:ascii="仿宋_GB2312" w:hAnsi="Cambria" w:eastAsia="仿宋_GB2312"/>
          <w:sz w:val="28"/>
          <w:szCs w:val="28"/>
        </w:rPr>
        <w:t>3</w:t>
      </w:r>
      <w:r>
        <w:rPr>
          <w:rFonts w:hint="eastAsia" w:ascii="仿宋_GB2312" w:hAnsi="Cambria" w:eastAsia="仿宋_GB2312"/>
          <w:sz w:val="28"/>
          <w:szCs w:val="28"/>
        </w:rPr>
        <w:t>.“理工农医类专业相关度”指理工农医类专业的毕业生认为所从事的工作与所学专业相关的比例，分母是本单位调查时理工农医类专业就业的毕业生人数，分子是本单位理工农医类专业的毕业生认为所从事的工作与所学专业相关的人数。</w:t>
      </w:r>
    </w:p>
    <w:p>
      <w:pPr>
        <w:spacing w:after="0" w:line="520" w:lineRule="exact"/>
        <w:ind w:firstLine="560" w:firstLineChars="200"/>
        <w:rPr>
          <w:rFonts w:ascii="仿宋_GB2312" w:hAnsi="Cambria" w:eastAsia="仿宋_GB2312"/>
          <w:sz w:val="28"/>
          <w:szCs w:val="28"/>
        </w:rPr>
      </w:pPr>
      <w:r>
        <w:rPr>
          <w:rFonts w:ascii="仿宋_GB2312" w:hAnsi="Cambria" w:eastAsia="仿宋_GB2312"/>
          <w:sz w:val="28"/>
          <w:szCs w:val="28"/>
        </w:rPr>
        <w:t>4</w:t>
      </w:r>
      <w:r>
        <w:rPr>
          <w:rFonts w:hint="eastAsia" w:ascii="仿宋_GB2312" w:hAnsi="Cambria" w:eastAsia="仿宋_GB2312"/>
          <w:sz w:val="28"/>
          <w:szCs w:val="28"/>
        </w:rPr>
        <w:t>.“母校满意度”指本校高职毕业生对母校表示满意的比例。</w:t>
      </w:r>
    </w:p>
    <w:p>
      <w:pPr>
        <w:spacing w:after="0" w:line="520" w:lineRule="exact"/>
        <w:ind w:firstLine="560" w:firstLineChars="200"/>
        <w:rPr>
          <w:rFonts w:ascii="仿宋_GB2312" w:hAnsi="Cambria" w:eastAsia="仿宋_GB2312"/>
          <w:sz w:val="28"/>
          <w:szCs w:val="28"/>
        </w:rPr>
      </w:pPr>
      <w:r>
        <w:rPr>
          <w:rFonts w:ascii="仿宋_GB2312" w:hAnsi="Cambria" w:eastAsia="仿宋_GB2312"/>
          <w:sz w:val="28"/>
          <w:szCs w:val="28"/>
        </w:rPr>
        <w:t>5</w:t>
      </w:r>
      <w:r>
        <w:rPr>
          <w:rFonts w:hint="eastAsia" w:ascii="仿宋_GB2312" w:hAnsi="Cambria" w:eastAsia="仿宋_GB2312"/>
          <w:sz w:val="28"/>
          <w:szCs w:val="28"/>
        </w:rPr>
        <w:t>.“雇主满意度”指录用应届高职毕业生的单位或部门对录用本校学生的满意度评价。</w:t>
      </w:r>
    </w:p>
    <w:p>
      <w:pPr>
        <w:spacing w:after="0" w:line="600" w:lineRule="exact"/>
        <w:ind w:firstLine="560" w:firstLineChars="200"/>
        <w:rPr>
          <w:rFonts w:ascii="Times New Roman" w:hAnsi="Times New Roman" w:eastAsia="方正仿宋_GBK"/>
          <w:b/>
          <w:bCs/>
          <w:sz w:val="28"/>
          <w:szCs w:val="28"/>
        </w:rPr>
      </w:pPr>
      <w:r>
        <w:rPr>
          <w:rFonts w:ascii="仿宋_GB2312" w:hAnsi="Cambria" w:eastAsia="仿宋_GB2312"/>
          <w:sz w:val="28"/>
          <w:szCs w:val="28"/>
        </w:rPr>
        <w:t>6</w:t>
      </w:r>
      <w:r>
        <w:rPr>
          <w:rFonts w:hint="eastAsia" w:ascii="仿宋_GB2312" w:hAnsi="Cambria" w:eastAsia="仿宋_GB2312"/>
          <w:sz w:val="28"/>
          <w:szCs w:val="28"/>
        </w:rPr>
        <w:t>.“毕业三年职位晋升比例”指本校2015届高职生毕业三年后有过职位晋升的比例。</w:t>
      </w:r>
      <w:r>
        <w:rPr>
          <w:rFonts w:ascii="仿宋_GB2312" w:hAnsi="Cambria" w:eastAsia="仿宋_GB2312"/>
          <w:sz w:val="28"/>
          <w:szCs w:val="28"/>
        </w:rPr>
        <w:t>分母是</w:t>
      </w:r>
      <w:r>
        <w:rPr>
          <w:rFonts w:hint="eastAsia" w:ascii="仿宋_GB2312" w:hAnsi="Cambria" w:eastAsia="仿宋_GB2312"/>
          <w:sz w:val="28"/>
          <w:szCs w:val="28"/>
        </w:rPr>
        <w:t>本校2015届高职毕业生数，分子</w:t>
      </w:r>
      <w:r>
        <w:rPr>
          <w:rFonts w:ascii="仿宋_GB2312" w:hAnsi="Cambria" w:eastAsia="仿宋_GB2312"/>
          <w:sz w:val="28"/>
          <w:szCs w:val="28"/>
        </w:rPr>
        <w:t>是</w:t>
      </w:r>
      <w:r>
        <w:rPr>
          <w:rFonts w:hint="eastAsia" w:ascii="仿宋_GB2312" w:hAnsi="Cambria" w:eastAsia="仿宋_GB2312"/>
          <w:sz w:val="28"/>
          <w:szCs w:val="28"/>
        </w:rPr>
        <w:t>毕业三年后有过职位晋升的本校2015届高职毕业生数</w:t>
      </w:r>
      <w:r>
        <w:rPr>
          <w:rFonts w:ascii="仿宋_GB2312" w:hAnsi="Cambria" w:eastAsia="仿宋_GB2312"/>
          <w:sz w:val="28"/>
          <w:szCs w:val="28"/>
        </w:rPr>
        <w:t>，</w:t>
      </w:r>
      <w:r>
        <w:rPr>
          <w:rFonts w:hint="eastAsia" w:ascii="仿宋_GB2312" w:hAnsi="Cambria" w:eastAsia="仿宋_GB2312"/>
          <w:sz w:val="28"/>
          <w:szCs w:val="28"/>
        </w:rPr>
        <w:t>此处</w:t>
      </w:r>
      <w:r>
        <w:rPr>
          <w:rFonts w:ascii="仿宋_GB2312" w:hAnsi="Cambria" w:eastAsia="仿宋_GB2312"/>
          <w:sz w:val="28"/>
          <w:szCs w:val="28"/>
        </w:rPr>
        <w:t>职位晋升形式</w:t>
      </w:r>
      <w:r>
        <w:rPr>
          <w:rFonts w:hint="eastAsia" w:ascii="仿宋_GB2312" w:hAnsi="Cambria" w:eastAsia="仿宋_GB2312"/>
          <w:sz w:val="28"/>
          <w:szCs w:val="28"/>
        </w:rPr>
        <w:t>可</w:t>
      </w:r>
      <w:r>
        <w:rPr>
          <w:rFonts w:ascii="仿宋_GB2312" w:hAnsi="Cambria" w:eastAsia="仿宋_GB2312"/>
          <w:sz w:val="28"/>
          <w:szCs w:val="28"/>
        </w:rPr>
        <w:t>包含：</w:t>
      </w:r>
      <w:r>
        <w:rPr>
          <w:rFonts w:hint="eastAsia" w:ascii="仿宋_GB2312" w:hAnsi="Cambria" w:eastAsia="仿宋_GB2312"/>
          <w:sz w:val="28"/>
          <w:szCs w:val="28"/>
        </w:rPr>
        <w:t>工作职责</w:t>
      </w:r>
      <w:r>
        <w:rPr>
          <w:rFonts w:ascii="仿宋_GB2312" w:hAnsi="Cambria" w:eastAsia="仿宋_GB2312"/>
          <w:sz w:val="28"/>
          <w:szCs w:val="28"/>
        </w:rPr>
        <w:t>的增大、管理权限的扩大、专业</w:t>
      </w:r>
      <w:r>
        <w:rPr>
          <w:rFonts w:hint="eastAsia" w:ascii="仿宋_GB2312" w:hAnsi="Cambria" w:eastAsia="仿宋_GB2312"/>
          <w:sz w:val="28"/>
          <w:szCs w:val="28"/>
        </w:rPr>
        <w:t>职称</w:t>
      </w:r>
      <w:r>
        <w:rPr>
          <w:rFonts w:ascii="仿宋_GB2312" w:hAnsi="Cambria" w:eastAsia="仿宋_GB2312"/>
          <w:sz w:val="28"/>
          <w:szCs w:val="28"/>
        </w:rPr>
        <w:t>的提升及</w:t>
      </w:r>
      <w:r>
        <w:rPr>
          <w:rFonts w:hint="eastAsia" w:ascii="仿宋_GB2312" w:hAnsi="Cambria" w:eastAsia="仿宋_GB2312"/>
          <w:sz w:val="28"/>
          <w:szCs w:val="28"/>
        </w:rPr>
        <w:t>由此带来的</w:t>
      </w:r>
      <w:r>
        <w:rPr>
          <w:rFonts w:ascii="仿宋_GB2312" w:hAnsi="Cambria" w:eastAsia="仿宋_GB2312"/>
          <w:sz w:val="28"/>
          <w:szCs w:val="28"/>
        </w:rPr>
        <w:t>薪资增加</w:t>
      </w:r>
      <w:r>
        <w:rPr>
          <w:rFonts w:hint="eastAsia" w:ascii="仿宋_GB2312" w:hAnsi="Cambria" w:eastAsia="仿宋_GB2312"/>
          <w:sz w:val="28"/>
          <w:szCs w:val="28"/>
        </w:rPr>
        <w:t>。</w:t>
      </w:r>
      <w:r>
        <w:rPr>
          <w:rFonts w:ascii="Times New Roman" w:hAnsi="Times New Roman" w:eastAsia="方正仿宋_GBK"/>
          <w:sz w:val="28"/>
          <w:szCs w:val="28"/>
        </w:rPr>
        <w:br w:type="page"/>
      </w:r>
      <w:r>
        <w:rPr>
          <w:rFonts w:hint="eastAsia" w:ascii="Times New Roman" w:hAnsi="Times New Roman" w:eastAsia="方正仿宋_GBK"/>
          <w:b/>
          <w:bCs/>
          <w:sz w:val="28"/>
          <w:szCs w:val="28"/>
        </w:rPr>
        <w:t>表1 计分卡</w:t>
      </w:r>
    </w:p>
    <w:tbl>
      <w:tblPr>
        <w:tblStyle w:val="3"/>
        <w:tblW w:w="8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7"/>
        <w:gridCol w:w="473"/>
        <w:gridCol w:w="3506"/>
        <w:gridCol w:w="1011"/>
        <w:gridCol w:w="98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65" w:type="dxa"/>
            <w:vAlign w:val="top"/>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院校代码</w:t>
            </w:r>
          </w:p>
        </w:tc>
        <w:tc>
          <w:tcPr>
            <w:tcW w:w="767" w:type="dxa"/>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院校名称</w:t>
            </w:r>
          </w:p>
        </w:tc>
        <w:tc>
          <w:tcPr>
            <w:tcW w:w="3979" w:type="dxa"/>
            <w:gridSpan w:val="2"/>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指标</w:t>
            </w:r>
          </w:p>
        </w:tc>
        <w:tc>
          <w:tcPr>
            <w:tcW w:w="1011" w:type="dxa"/>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单位</w:t>
            </w:r>
          </w:p>
        </w:tc>
        <w:tc>
          <w:tcPr>
            <w:tcW w:w="983" w:type="dxa"/>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2017年</w:t>
            </w:r>
          </w:p>
        </w:tc>
        <w:tc>
          <w:tcPr>
            <w:tcW w:w="1057" w:type="dxa"/>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restart"/>
            <w:vAlign w:val="top"/>
          </w:tcPr>
          <w:p>
            <w:pPr>
              <w:spacing w:after="0" w:line="600" w:lineRule="exact"/>
              <w:jc w:val="center"/>
              <w:rPr>
                <w:rFonts w:ascii="Times New Roman" w:hAnsi="Times New Roman" w:eastAsia="方正仿宋_GBK"/>
                <w:sz w:val="21"/>
                <w:szCs w:val="21"/>
              </w:rPr>
            </w:pPr>
          </w:p>
        </w:tc>
        <w:tc>
          <w:tcPr>
            <w:tcW w:w="767" w:type="dxa"/>
            <w:vMerge w:val="restart"/>
            <w:vAlign w:val="top"/>
          </w:tcPr>
          <w:p>
            <w:pPr>
              <w:spacing w:after="0" w:line="600" w:lineRule="exact"/>
              <w:jc w:val="center"/>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1</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就业率</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jc w:val="center"/>
              <w:rPr>
                <w:rFonts w:ascii="Times New Roman" w:hAnsi="Times New Roman" w:eastAsia="方正仿宋_GBK"/>
                <w:sz w:val="21"/>
                <w:szCs w:val="21"/>
              </w:rPr>
            </w:pPr>
          </w:p>
        </w:tc>
        <w:tc>
          <w:tcPr>
            <w:tcW w:w="767" w:type="dxa"/>
            <w:vMerge w:val="continue"/>
            <w:vAlign w:val="top"/>
          </w:tcPr>
          <w:p>
            <w:pPr>
              <w:spacing w:after="0" w:line="600" w:lineRule="exact"/>
              <w:jc w:val="center"/>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2</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月收入</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元</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ind w:firstLine="105" w:firstLineChars="50"/>
              <w:rPr>
                <w:rFonts w:ascii="Times New Roman" w:hAnsi="Times New Roman" w:eastAsia="方正仿宋_GBK"/>
                <w:sz w:val="21"/>
                <w:szCs w:val="21"/>
              </w:rPr>
            </w:pPr>
          </w:p>
        </w:tc>
        <w:tc>
          <w:tcPr>
            <w:tcW w:w="767" w:type="dxa"/>
            <w:vMerge w:val="continue"/>
            <w:vAlign w:val="top"/>
          </w:tcPr>
          <w:p>
            <w:pPr>
              <w:spacing w:after="0" w:line="600" w:lineRule="exact"/>
              <w:ind w:firstLine="105" w:firstLineChars="50"/>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3</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理工农医类专业相关度</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ind w:firstLine="105" w:firstLineChars="50"/>
              <w:rPr>
                <w:rFonts w:ascii="Times New Roman" w:hAnsi="Times New Roman" w:eastAsia="方正仿宋_GBK"/>
                <w:sz w:val="21"/>
                <w:szCs w:val="21"/>
              </w:rPr>
            </w:pPr>
          </w:p>
        </w:tc>
        <w:tc>
          <w:tcPr>
            <w:tcW w:w="767" w:type="dxa"/>
            <w:vMerge w:val="continue"/>
            <w:vAlign w:val="top"/>
          </w:tcPr>
          <w:p>
            <w:pPr>
              <w:spacing w:after="0" w:line="600" w:lineRule="exact"/>
              <w:ind w:firstLine="105" w:firstLineChars="50"/>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4</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母校满意度</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jc w:val="center"/>
              <w:rPr>
                <w:rFonts w:ascii="Times New Roman" w:hAnsi="Times New Roman" w:eastAsia="方正仿宋_GBK"/>
                <w:sz w:val="21"/>
                <w:szCs w:val="21"/>
              </w:rPr>
            </w:pPr>
          </w:p>
        </w:tc>
        <w:tc>
          <w:tcPr>
            <w:tcW w:w="767" w:type="dxa"/>
            <w:vMerge w:val="continue"/>
            <w:vAlign w:val="top"/>
          </w:tcPr>
          <w:p>
            <w:pPr>
              <w:spacing w:after="0" w:line="600" w:lineRule="exact"/>
              <w:jc w:val="center"/>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5</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自主创业比例</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jc w:val="center"/>
              <w:rPr>
                <w:rFonts w:ascii="Times New Roman" w:hAnsi="Times New Roman" w:eastAsia="方正仿宋_GBK"/>
                <w:sz w:val="21"/>
                <w:szCs w:val="21"/>
              </w:rPr>
            </w:pPr>
          </w:p>
        </w:tc>
        <w:tc>
          <w:tcPr>
            <w:tcW w:w="767" w:type="dxa"/>
            <w:vMerge w:val="continue"/>
            <w:vAlign w:val="top"/>
          </w:tcPr>
          <w:p>
            <w:pPr>
              <w:spacing w:after="0" w:line="600" w:lineRule="exact"/>
              <w:jc w:val="center"/>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6</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雇主满意度</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65" w:type="dxa"/>
            <w:vMerge w:val="continue"/>
            <w:vAlign w:val="top"/>
          </w:tcPr>
          <w:p>
            <w:pPr>
              <w:spacing w:after="0" w:line="600" w:lineRule="exact"/>
              <w:jc w:val="center"/>
              <w:rPr>
                <w:rFonts w:ascii="Times New Roman" w:hAnsi="Times New Roman" w:eastAsia="方正仿宋_GBK"/>
                <w:sz w:val="21"/>
                <w:szCs w:val="21"/>
              </w:rPr>
            </w:pPr>
          </w:p>
        </w:tc>
        <w:tc>
          <w:tcPr>
            <w:tcW w:w="767" w:type="dxa"/>
            <w:vMerge w:val="continue"/>
            <w:vAlign w:val="top"/>
          </w:tcPr>
          <w:p>
            <w:pPr>
              <w:spacing w:after="0" w:line="600" w:lineRule="exact"/>
              <w:jc w:val="center"/>
              <w:rPr>
                <w:rFonts w:ascii="Times New Roman" w:hAnsi="Times New Roman" w:eastAsia="方正仿宋_GBK"/>
                <w:sz w:val="21"/>
                <w:szCs w:val="21"/>
              </w:rPr>
            </w:pPr>
          </w:p>
        </w:tc>
        <w:tc>
          <w:tcPr>
            <w:tcW w:w="473"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7</w:t>
            </w:r>
          </w:p>
        </w:tc>
        <w:tc>
          <w:tcPr>
            <w:tcW w:w="3506" w:type="dxa"/>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毕业三年职位晋升比例</w:t>
            </w:r>
          </w:p>
        </w:tc>
        <w:tc>
          <w:tcPr>
            <w:tcW w:w="1011" w:type="dxa"/>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83" w:type="dxa"/>
            <w:vAlign w:val="center"/>
          </w:tcPr>
          <w:p>
            <w:pPr>
              <w:spacing w:after="0" w:line="600" w:lineRule="exact"/>
              <w:jc w:val="center"/>
              <w:rPr>
                <w:rFonts w:ascii="Times New Roman" w:hAnsi="Times New Roman" w:eastAsia="方正仿宋_GBK"/>
                <w:sz w:val="21"/>
                <w:szCs w:val="21"/>
              </w:rPr>
            </w:pPr>
          </w:p>
        </w:tc>
        <w:tc>
          <w:tcPr>
            <w:tcW w:w="1057" w:type="dxa"/>
            <w:vAlign w:val="center"/>
          </w:tcPr>
          <w:p>
            <w:pPr>
              <w:spacing w:after="0" w:line="600" w:lineRule="exact"/>
              <w:jc w:val="center"/>
              <w:rPr>
                <w:rFonts w:ascii="Times New Roman" w:hAnsi="Times New Roman" w:eastAsia="方正仿宋_GBK"/>
                <w:sz w:val="21"/>
                <w:szCs w:val="21"/>
              </w:rPr>
            </w:pPr>
          </w:p>
        </w:tc>
      </w:tr>
    </w:tbl>
    <w:p>
      <w:pPr>
        <w:spacing w:after="0" w:line="600" w:lineRule="exact"/>
        <w:outlineLvl w:val="0"/>
        <w:rPr>
          <w:rFonts w:ascii="Times New Roman" w:hAnsi="Times New Roman" w:eastAsia="方正仿宋_GBK"/>
          <w:sz w:val="28"/>
          <w:szCs w:val="28"/>
        </w:rPr>
      </w:pPr>
    </w:p>
    <w:p>
      <w:pPr>
        <w:spacing w:after="0" w:line="600" w:lineRule="exact"/>
        <w:outlineLvl w:val="0"/>
        <w:rPr>
          <w:rFonts w:ascii="Times New Roman" w:hAnsi="Times New Roman" w:eastAsia="方正仿宋_GBK"/>
          <w:sz w:val="28"/>
          <w:szCs w:val="28"/>
        </w:rPr>
      </w:pPr>
    </w:p>
    <w:p>
      <w:pPr>
        <w:spacing w:after="0" w:line="560" w:lineRule="exact"/>
        <w:ind w:firstLine="560" w:firstLineChars="200"/>
        <w:rPr>
          <w:rFonts w:hint="eastAsia" w:ascii="Times New Roman" w:hAnsi="Times New Roman" w:eastAsia="方正仿宋_GBK"/>
          <w:sz w:val="28"/>
          <w:szCs w:val="28"/>
        </w:rPr>
      </w:pPr>
      <w:r>
        <w:rPr>
          <w:rFonts w:ascii="Times New Roman" w:hAnsi="Times New Roman" w:eastAsia="方正仿宋_GBK"/>
          <w:sz w:val="28"/>
          <w:szCs w:val="28"/>
        </w:rPr>
        <w:br w:type="page"/>
      </w:r>
      <w:r>
        <w:rPr>
          <w:rFonts w:hint="eastAsia" w:ascii="Times New Roman" w:hAnsi="Times New Roman" w:eastAsia="方正仿宋_GBK"/>
          <w:sz w:val="28"/>
          <w:szCs w:val="28"/>
        </w:rPr>
        <w:t>附件3</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“学生反馈表”指标及相关内涵说明</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“学生反馈表”系通过高职院校学生的在校体验与反馈来反映学校的立德树人典型成效的评价管理工具。</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1.“课堂育人满意度”指学生对于课堂育人活动表示满意的比例。“课外育人满意度”指学生对于学校开展的课堂以外的育人活动表示满意的比例。若开展了多次满意度调研，则填写满意度的平均值。</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2.“思想政治课教学满意度”指学生对于学校开设的思想政治课程的教材、教师、教学等方面表示满意的比例。“公共基础课教学满意度”指学生对于学校开设的公共基础课（不含思想政治课）表示满意的比例。“专业课教学满意度”指学生对于学校开设的专业课程表示满意的比例。若开展了多次满意度调研，则填写满意度的平均值。</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3.“学生工作满意度”指学生对学工部门、团委、学生会、社团联合会等单位开展的学生工作与活动表示满意的比例。“教学管理满意度”指学生对于学校在课程设置、实习实践、测评考核等教学管理各个方面表示满意的比例。“后勤服务满意度”指学生对于学校食堂、宿舍、洗浴等后勤服务质量、服务态度、基本设施等方面表示满意的比例。若开展了多次满意度调研，则填写满意度的平均值。</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4.“学生参与志愿者活动时间”指学生参与志愿者活动的时间。</w:t>
      </w:r>
    </w:p>
    <w:p>
      <w:pPr>
        <w:spacing w:after="0" w:line="560" w:lineRule="exact"/>
        <w:ind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5.“学生社团参与度”指本校高职学生参与过社团活动的比例。其中，“学生社团数”指学校开办的社团总数。“参与各社团的学生人数”指分别参与不同社团活动的人数，应逐一列出。</w:t>
      </w:r>
    </w:p>
    <w:p>
      <w:pPr>
        <w:jc w:val="center"/>
        <w:rPr>
          <w:rFonts w:ascii="黑体" w:hAnsi="黑体" w:eastAsia="黑体"/>
          <w:sz w:val="32"/>
          <w:szCs w:val="32"/>
        </w:rPr>
      </w:pPr>
      <w:r>
        <w:rPr>
          <w:rFonts w:ascii="仿宋_GB2312" w:hAnsi="Cambria" w:eastAsia="仿宋_GB2312" w:cs="宋体"/>
          <w:sz w:val="32"/>
          <w:szCs w:val="32"/>
        </w:rPr>
        <w:br w:type="page"/>
      </w:r>
      <w:r>
        <w:rPr>
          <w:rFonts w:ascii="黑体" w:hAnsi="黑体" w:eastAsia="黑体"/>
          <w:sz w:val="32"/>
          <w:szCs w:val="32"/>
        </w:rPr>
        <w:t>表</w:t>
      </w:r>
      <w:r>
        <w:rPr>
          <w:rFonts w:hint="eastAsia" w:ascii="黑体" w:hAnsi="黑体" w:eastAsia="黑体"/>
          <w:sz w:val="32"/>
          <w:szCs w:val="32"/>
        </w:rPr>
        <w:t>2学生反馈表</w:t>
      </w:r>
    </w:p>
    <w:tbl>
      <w:tblPr>
        <w:tblStyle w:val="3"/>
        <w:tblW w:w="89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826"/>
        <w:gridCol w:w="412"/>
        <w:gridCol w:w="1924"/>
        <w:gridCol w:w="1375"/>
        <w:gridCol w:w="825"/>
        <w:gridCol w:w="961"/>
        <w:gridCol w:w="961"/>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Align w:val="top"/>
          </w:tcPr>
          <w:p>
            <w:pPr>
              <w:jc w:val="center"/>
              <w:rPr>
                <w:rFonts w:ascii="仿宋_GB2312" w:hAnsi="宋体" w:eastAsia="仿宋_GB2312"/>
                <w:b/>
                <w:sz w:val="24"/>
                <w:szCs w:val="24"/>
              </w:rPr>
            </w:pPr>
            <w:r>
              <w:rPr>
                <w:rFonts w:hint="eastAsia" w:ascii="仿宋_GB2312" w:hAnsi="宋体" w:eastAsia="仿宋_GB2312"/>
                <w:b/>
                <w:sz w:val="24"/>
                <w:szCs w:val="24"/>
              </w:rPr>
              <w:t>院校代码</w:t>
            </w:r>
          </w:p>
        </w:tc>
        <w:tc>
          <w:tcPr>
            <w:tcW w:w="826" w:type="dxa"/>
            <w:vAlign w:val="top"/>
          </w:tcPr>
          <w:p>
            <w:pPr>
              <w:jc w:val="center"/>
              <w:rPr>
                <w:rFonts w:ascii="仿宋_GB2312" w:hAnsi="宋体" w:eastAsia="仿宋_GB2312"/>
                <w:b/>
                <w:sz w:val="24"/>
                <w:szCs w:val="24"/>
              </w:rPr>
            </w:pPr>
            <w:r>
              <w:rPr>
                <w:rFonts w:hint="eastAsia" w:ascii="仿宋_GB2312" w:hAnsi="宋体" w:eastAsia="仿宋_GB2312"/>
                <w:b/>
                <w:sz w:val="24"/>
                <w:szCs w:val="24"/>
              </w:rPr>
              <w:t>院校名称</w:t>
            </w:r>
          </w:p>
        </w:tc>
        <w:tc>
          <w:tcPr>
            <w:tcW w:w="3711" w:type="dxa"/>
            <w:gridSpan w:val="3"/>
            <w:vAlign w:val="center"/>
          </w:tcPr>
          <w:p>
            <w:pPr>
              <w:jc w:val="center"/>
              <w:rPr>
                <w:rFonts w:ascii="仿宋_GB2312" w:hAnsi="宋体" w:eastAsia="仿宋_GB2312"/>
                <w:b/>
                <w:sz w:val="24"/>
                <w:szCs w:val="24"/>
              </w:rPr>
            </w:pPr>
            <w:r>
              <w:rPr>
                <w:rFonts w:hint="eastAsia" w:ascii="仿宋_GB2312" w:hAnsi="宋体" w:eastAsia="仿宋_GB2312"/>
                <w:b/>
                <w:sz w:val="24"/>
                <w:szCs w:val="24"/>
              </w:rPr>
              <w:t>指标</w:t>
            </w:r>
          </w:p>
        </w:tc>
        <w:tc>
          <w:tcPr>
            <w:tcW w:w="825" w:type="dxa"/>
            <w:vAlign w:val="center"/>
          </w:tcPr>
          <w:p>
            <w:pPr>
              <w:jc w:val="center"/>
              <w:rPr>
                <w:rFonts w:ascii="仿宋_GB2312" w:hAnsi="宋体" w:eastAsia="仿宋_GB2312"/>
                <w:b/>
                <w:sz w:val="24"/>
                <w:szCs w:val="24"/>
              </w:rPr>
            </w:pPr>
            <w:r>
              <w:rPr>
                <w:rFonts w:hint="eastAsia" w:ascii="仿宋_GB2312" w:hAnsi="宋体" w:eastAsia="仿宋_GB2312"/>
                <w:b/>
                <w:sz w:val="24"/>
                <w:szCs w:val="24"/>
              </w:rPr>
              <w:t>单位</w:t>
            </w:r>
          </w:p>
        </w:tc>
        <w:tc>
          <w:tcPr>
            <w:tcW w:w="961" w:type="dxa"/>
            <w:vAlign w:val="center"/>
          </w:tcPr>
          <w:p>
            <w:pPr>
              <w:jc w:val="center"/>
              <w:rPr>
                <w:rFonts w:ascii="仿宋_GB2312" w:hAnsi="宋体" w:eastAsia="仿宋_GB2312"/>
                <w:b/>
                <w:sz w:val="24"/>
                <w:szCs w:val="24"/>
              </w:rPr>
            </w:pPr>
            <w:r>
              <w:rPr>
                <w:rFonts w:hint="eastAsia" w:ascii="仿宋_GB2312" w:hAnsi="宋体" w:eastAsia="仿宋_GB2312"/>
                <w:b/>
                <w:sz w:val="24"/>
                <w:szCs w:val="24"/>
              </w:rPr>
              <w:t>一年级</w:t>
            </w:r>
          </w:p>
        </w:tc>
        <w:tc>
          <w:tcPr>
            <w:tcW w:w="961" w:type="dxa"/>
            <w:vAlign w:val="center"/>
          </w:tcPr>
          <w:p>
            <w:pPr>
              <w:jc w:val="center"/>
              <w:rPr>
                <w:rFonts w:ascii="仿宋_GB2312" w:hAnsi="宋体" w:eastAsia="仿宋_GB2312"/>
                <w:b/>
                <w:sz w:val="24"/>
                <w:szCs w:val="24"/>
              </w:rPr>
            </w:pPr>
            <w:r>
              <w:rPr>
                <w:rFonts w:hint="eastAsia" w:ascii="仿宋_GB2312" w:hAnsi="宋体" w:eastAsia="仿宋_GB2312"/>
                <w:b/>
                <w:sz w:val="24"/>
                <w:szCs w:val="24"/>
              </w:rPr>
              <w:t>二年级</w:t>
            </w:r>
          </w:p>
        </w:tc>
        <w:tc>
          <w:tcPr>
            <w:tcW w:w="959" w:type="dxa"/>
            <w:vAlign w:val="center"/>
          </w:tcPr>
          <w:p>
            <w:pPr>
              <w:jc w:val="center"/>
              <w:rPr>
                <w:rFonts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restart"/>
            <w:vAlign w:val="top"/>
          </w:tcPr>
          <w:p>
            <w:pPr>
              <w:jc w:val="center"/>
              <w:rPr>
                <w:rFonts w:ascii="仿宋_GB2312" w:hAnsi="宋体" w:eastAsia="仿宋_GB2312"/>
                <w:sz w:val="24"/>
                <w:szCs w:val="24"/>
              </w:rPr>
            </w:pPr>
          </w:p>
        </w:tc>
        <w:tc>
          <w:tcPr>
            <w:tcW w:w="826" w:type="dxa"/>
            <w:vMerge w:val="restart"/>
            <w:vAlign w:val="top"/>
          </w:tcPr>
          <w:p>
            <w:pPr>
              <w:jc w:val="center"/>
              <w:rPr>
                <w:rFonts w:ascii="仿宋_GB2312" w:hAnsi="宋体" w:eastAsia="仿宋_GB2312"/>
                <w:sz w:val="24"/>
                <w:szCs w:val="24"/>
              </w:rPr>
            </w:pPr>
          </w:p>
        </w:tc>
        <w:tc>
          <w:tcPr>
            <w:tcW w:w="4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全日制在校生人数</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人</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2</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教书育人满意度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r>
              <w:rPr>
                <w:rFonts w:hint="eastAsia" w:ascii="仿宋_GB2312" w:hAnsi="宋体" w:eastAsia="仿宋_GB2312"/>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rPr>
                <w:rFonts w:ascii="仿宋_GB2312" w:hAnsi="宋体" w:eastAsia="仿宋_GB2312"/>
                <w:sz w:val="24"/>
                <w:szCs w:val="24"/>
              </w:rPr>
            </w:pPr>
            <w:r>
              <w:rPr>
                <w:rFonts w:hint="eastAsia" w:ascii="仿宋_GB2312" w:hAnsi="宋体" w:eastAsia="仿宋_GB2312"/>
                <w:sz w:val="24"/>
                <w:szCs w:val="24"/>
              </w:rPr>
              <w:t>（1）课堂育人</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调研人次</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人次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center"/>
          </w:tcPr>
          <w:p>
            <w:pP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rPr>
                <w:rFonts w:ascii="仿宋_GB2312" w:hAnsi="宋体" w:eastAsia="仿宋_GB2312"/>
                <w:sz w:val="24"/>
                <w:szCs w:val="24"/>
              </w:rPr>
            </w:pPr>
            <w:r>
              <w:rPr>
                <w:rFonts w:hint="eastAsia" w:ascii="仿宋_GB2312" w:hAnsi="宋体" w:eastAsia="仿宋_GB2312"/>
                <w:sz w:val="24"/>
                <w:szCs w:val="24"/>
              </w:rPr>
              <w:t>（2）课外育人</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调研人次</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人次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top"/>
          </w:tcPr>
          <w:p>
            <w:pP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3</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课程教学满意度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r>
              <w:rPr>
                <w:rFonts w:hint="eastAsia" w:ascii="仿宋_GB2312" w:hAnsi="宋体" w:eastAsia="仿宋_GB2312"/>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（1）思想政治课</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调研课次</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课次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center"/>
          </w:tcPr>
          <w:p>
            <w:pPr>
              <w:jc w:val="cente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pacing w:val="-20"/>
                <w:sz w:val="24"/>
                <w:szCs w:val="24"/>
              </w:rPr>
            </w:pPr>
            <w:r>
              <w:rPr>
                <w:rFonts w:hint="eastAsia" w:ascii="仿宋_GB2312" w:hAnsi="宋体" w:eastAsia="仿宋_GB2312"/>
                <w:spacing w:val="-20"/>
                <w:sz w:val="24"/>
                <w:szCs w:val="24"/>
              </w:rPr>
              <w:t>（2）公共基础课（不含思想政治课）</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调研课次</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课次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center"/>
          </w:tcPr>
          <w:p>
            <w:pPr>
              <w:jc w:val="cente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（3）专业课教学</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调研课次</w:t>
            </w:r>
          </w:p>
        </w:tc>
        <w:tc>
          <w:tcPr>
            <w:tcW w:w="825" w:type="dxa"/>
            <w:vAlign w:val="center"/>
          </w:tcPr>
          <w:p>
            <w:pPr>
              <w:jc w:val="center"/>
              <w:rPr>
                <w:rFonts w:ascii="仿宋_GB2312" w:hAnsi="宋体" w:eastAsia="仿宋_GB2312"/>
                <w:b/>
                <w:sz w:val="24"/>
                <w:szCs w:val="24"/>
              </w:rPr>
            </w:pPr>
            <w:r>
              <w:rPr>
                <w:rFonts w:hint="eastAsia" w:ascii="仿宋_GB2312" w:hAnsi="宋体" w:eastAsia="仿宋_GB2312"/>
                <w:sz w:val="24"/>
                <w:szCs w:val="24"/>
              </w:rPr>
              <w:t>课次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top"/>
          </w:tcPr>
          <w:p>
            <w:pP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4</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管理和服务工作满意度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（1）学生工作</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调研人次</w:t>
            </w:r>
          </w:p>
        </w:tc>
        <w:tc>
          <w:tcPr>
            <w:tcW w:w="825" w:type="dxa"/>
            <w:vAlign w:val="center"/>
          </w:tcPr>
          <w:p>
            <w:pPr>
              <w:jc w:val="center"/>
              <w:rPr>
                <w:rFonts w:ascii="仿宋_GB2312" w:hAnsi="宋体" w:eastAsia="仿宋_GB2312"/>
                <w:sz w:val="24"/>
                <w:szCs w:val="24"/>
              </w:rPr>
            </w:pPr>
            <w:r>
              <w:rPr>
                <w:rFonts w:ascii="仿宋_GB2312" w:hAnsi="宋体" w:eastAsia="仿宋_GB2312"/>
                <w:sz w:val="24"/>
                <w:szCs w:val="24"/>
              </w:rPr>
              <w:t>人次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hint="eastAsia" w:ascii="仿宋_GB2312" w:hAnsi="宋体" w:eastAsia="仿宋_GB2312"/>
                <w:sz w:val="24"/>
                <w:szCs w:val="24"/>
              </w:rPr>
            </w:pPr>
            <w:r>
              <w:rPr>
                <w:rFonts w:hint="eastAsia" w:ascii="仿宋_GB2312" w:hAnsi="宋体" w:eastAsia="仿宋_GB2312"/>
                <w:sz w:val="24"/>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center"/>
          </w:tcPr>
          <w:p>
            <w:pPr>
              <w:jc w:val="cente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（2）教学管理</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调研人次</w:t>
            </w:r>
          </w:p>
        </w:tc>
        <w:tc>
          <w:tcPr>
            <w:tcW w:w="825" w:type="dxa"/>
            <w:vAlign w:val="center"/>
          </w:tcPr>
          <w:p>
            <w:pPr>
              <w:jc w:val="center"/>
              <w:rPr>
                <w:rFonts w:ascii="仿宋_GB2312" w:hAnsi="宋体" w:eastAsia="仿宋_GB2312"/>
                <w:sz w:val="24"/>
                <w:szCs w:val="24"/>
              </w:rPr>
            </w:pPr>
            <w:r>
              <w:rPr>
                <w:rFonts w:ascii="仿宋_GB2312" w:hAnsi="宋体" w:eastAsia="仿宋_GB2312"/>
                <w:sz w:val="24"/>
                <w:szCs w:val="24"/>
              </w:rPr>
              <w:t>人次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tbl>
            <w:tblPr>
              <w:tblStyle w:val="3"/>
              <w:tblW w:w="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59" w:type="dxa"/>
                  <w:vAlign w:val="top"/>
                </w:tcPr>
                <w:p>
                  <w:pPr>
                    <w:rPr>
                      <w:rFonts w:ascii="仿宋_GB2312" w:hAnsi="宋体" w:eastAsia="仿宋_GB2312"/>
                      <w:sz w:val="24"/>
                      <w:szCs w:val="24"/>
                    </w:rPr>
                  </w:pPr>
                  <w:r>
                    <w:rPr>
                      <w:rFonts w:hint="eastAsia" w:ascii="仿宋_GB2312" w:hAnsi="宋体" w:eastAsia="仿宋_GB2312"/>
                      <w:sz w:val="24"/>
                      <w:szCs w:val="24"/>
                    </w:rPr>
                    <w:t>教务处</w:t>
                  </w:r>
                </w:p>
              </w:tc>
            </w:tr>
          </w:tbl>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center"/>
          </w:tcPr>
          <w:p>
            <w:pPr>
              <w:jc w:val="cente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（3）后勤服务</w:t>
            </w: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调研人次</w:t>
            </w:r>
          </w:p>
        </w:tc>
        <w:tc>
          <w:tcPr>
            <w:tcW w:w="825" w:type="dxa"/>
            <w:vAlign w:val="center"/>
          </w:tcPr>
          <w:p>
            <w:pPr>
              <w:jc w:val="center"/>
              <w:rPr>
                <w:rFonts w:ascii="仿宋_GB2312" w:hAnsi="宋体" w:eastAsia="仿宋_GB2312"/>
                <w:sz w:val="24"/>
                <w:szCs w:val="24"/>
              </w:rPr>
            </w:pPr>
            <w:r>
              <w:rPr>
                <w:rFonts w:ascii="仿宋_GB2312" w:hAnsi="宋体" w:eastAsia="仿宋_GB2312"/>
                <w:sz w:val="24"/>
                <w:szCs w:val="24"/>
              </w:rPr>
              <w:t>人次</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hint="eastAsia" w:ascii="仿宋_GB2312" w:hAnsi="宋体" w:eastAsia="仿宋_GB2312"/>
                <w:sz w:val="24"/>
                <w:szCs w:val="24"/>
              </w:rPr>
            </w:pPr>
            <w:r>
              <w:rPr>
                <w:rFonts w:hint="eastAsia" w:ascii="仿宋_GB2312" w:hAnsi="宋体" w:eastAsia="仿宋_GB2312"/>
                <w:sz w:val="24"/>
                <w:szCs w:val="24"/>
              </w:rPr>
              <w:t>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continue"/>
            <w:vAlign w:val="center"/>
          </w:tcPr>
          <w:p>
            <w:pPr>
              <w:jc w:val="center"/>
              <w:rPr>
                <w:rFonts w:ascii="仿宋_GB2312" w:hAnsi="宋体" w:eastAsia="仿宋_GB2312"/>
                <w:sz w:val="24"/>
                <w:szCs w:val="24"/>
              </w:rPr>
            </w:pPr>
          </w:p>
        </w:tc>
        <w:tc>
          <w:tcPr>
            <w:tcW w:w="1924" w:type="dxa"/>
            <w:vMerge w:val="continue"/>
            <w:vAlign w:val="top"/>
          </w:tcPr>
          <w:p>
            <w:pPr>
              <w:rPr>
                <w:rFonts w:ascii="仿宋_GB2312" w:hAnsi="宋体" w:eastAsia="仿宋_GB2312"/>
                <w:sz w:val="24"/>
                <w:szCs w:val="24"/>
              </w:rPr>
            </w:pPr>
          </w:p>
        </w:tc>
        <w:tc>
          <w:tcPr>
            <w:tcW w:w="1375" w:type="dxa"/>
            <w:vAlign w:val="top"/>
          </w:tcPr>
          <w:p>
            <w:pPr>
              <w:rPr>
                <w:rFonts w:ascii="仿宋_GB2312" w:hAnsi="宋体" w:eastAsia="仿宋_GB2312"/>
                <w:sz w:val="24"/>
                <w:szCs w:val="24"/>
              </w:rPr>
            </w:pPr>
            <w:r>
              <w:rPr>
                <w:rFonts w:hint="eastAsia" w:ascii="仿宋_GB2312" w:hAnsi="宋体" w:eastAsia="仿宋_GB2312"/>
                <w:sz w:val="24"/>
                <w:szCs w:val="24"/>
              </w:rPr>
              <w:t>满意度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Align w:val="center"/>
          </w:tcPr>
          <w:p>
            <w:pPr>
              <w:jc w:val="center"/>
              <w:rPr>
                <w:rFonts w:ascii="仿宋_GB2312" w:hAnsi="宋体" w:eastAsia="仿宋_GB2312"/>
                <w:sz w:val="24"/>
                <w:szCs w:val="24"/>
              </w:rPr>
            </w:pPr>
            <w:r>
              <w:rPr>
                <w:rFonts w:hint="eastAsia" w:ascii="仿宋_GB2312" w:hAnsi="宋体" w:eastAsia="仿宋_GB2312"/>
                <w:sz w:val="24"/>
                <w:szCs w:val="24"/>
              </w:rPr>
              <w:t>5</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学生参与志愿者活动时间</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人日</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hint="eastAsia" w:ascii="仿宋_GB2312" w:hAnsi="宋体" w:eastAsia="仿宋_GB2312"/>
                <w:sz w:val="24"/>
                <w:szCs w:val="24"/>
              </w:rPr>
            </w:pPr>
            <w:r>
              <w:rPr>
                <w:rFonts w:hint="eastAsia" w:ascii="仿宋_GB2312" w:hAnsi="宋体" w:eastAsia="仿宋_GB2312"/>
                <w:sz w:val="24"/>
                <w:szCs w:val="24"/>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jc w:val="center"/>
              <w:rPr>
                <w:rFonts w:ascii="仿宋_GB2312" w:hAnsi="宋体" w:eastAsia="仿宋_GB2312"/>
                <w:sz w:val="24"/>
                <w:szCs w:val="24"/>
              </w:rPr>
            </w:pPr>
          </w:p>
        </w:tc>
        <w:tc>
          <w:tcPr>
            <w:tcW w:w="826" w:type="dxa"/>
            <w:vMerge w:val="continue"/>
            <w:vAlign w:val="top"/>
          </w:tcPr>
          <w:p>
            <w:pPr>
              <w:jc w:val="center"/>
              <w:rPr>
                <w:rFonts w:ascii="仿宋_GB2312" w:hAnsi="宋体" w:eastAsia="仿宋_GB2312"/>
                <w:sz w:val="24"/>
                <w:szCs w:val="24"/>
              </w:rPr>
            </w:pPr>
          </w:p>
        </w:tc>
        <w:tc>
          <w:tcPr>
            <w:tcW w:w="412" w:type="dxa"/>
            <w:vMerge w:val="restart"/>
            <w:vAlign w:val="center"/>
          </w:tcPr>
          <w:p>
            <w:pPr>
              <w:jc w:val="center"/>
              <w:rPr>
                <w:rFonts w:ascii="仿宋_GB2312" w:hAnsi="宋体" w:eastAsia="仿宋_GB2312"/>
                <w:sz w:val="24"/>
                <w:szCs w:val="24"/>
              </w:rPr>
            </w:pPr>
            <w:r>
              <w:rPr>
                <w:rFonts w:hint="eastAsia" w:ascii="仿宋_GB2312" w:hAnsi="宋体" w:eastAsia="仿宋_GB2312"/>
                <w:sz w:val="24"/>
                <w:szCs w:val="24"/>
              </w:rPr>
              <w:t>6</w:t>
            </w: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学生社团参与度</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rPr>
                <w:rFonts w:ascii="仿宋_GB2312" w:hAnsi="宋体" w:eastAsia="仿宋_GB2312"/>
                <w:sz w:val="24"/>
                <w:szCs w:val="24"/>
              </w:rPr>
            </w:pPr>
          </w:p>
        </w:tc>
        <w:tc>
          <w:tcPr>
            <w:tcW w:w="826" w:type="dxa"/>
            <w:vMerge w:val="continue"/>
            <w:vAlign w:val="top"/>
          </w:tcPr>
          <w:p>
            <w:pPr>
              <w:rPr>
                <w:rFonts w:ascii="仿宋_GB2312" w:hAnsi="宋体" w:eastAsia="仿宋_GB2312"/>
                <w:sz w:val="24"/>
                <w:szCs w:val="24"/>
              </w:rPr>
            </w:pPr>
          </w:p>
        </w:tc>
        <w:tc>
          <w:tcPr>
            <w:tcW w:w="412" w:type="dxa"/>
            <w:vMerge w:val="continue"/>
            <w:vAlign w:val="top"/>
          </w:tcPr>
          <w:p>
            <w:pPr>
              <w:rPr>
                <w:rFonts w:ascii="仿宋_GB2312" w:hAnsi="宋体" w:eastAsia="仿宋_GB2312"/>
                <w:sz w:val="24"/>
                <w:szCs w:val="24"/>
              </w:rPr>
            </w:pPr>
          </w:p>
        </w:tc>
        <w:tc>
          <w:tcPr>
            <w:tcW w:w="3299" w:type="dxa"/>
            <w:gridSpan w:val="2"/>
            <w:vAlign w:val="top"/>
          </w:tcPr>
          <w:p>
            <w:pPr>
              <w:rPr>
                <w:rFonts w:ascii="仿宋_GB2312" w:hAnsi="宋体" w:eastAsia="仿宋_GB2312"/>
                <w:sz w:val="24"/>
                <w:szCs w:val="24"/>
              </w:rPr>
            </w:pPr>
            <w:r>
              <w:rPr>
                <w:rFonts w:hint="eastAsia" w:ascii="仿宋_GB2312" w:hAnsi="宋体" w:eastAsia="仿宋_GB2312"/>
                <w:sz w:val="24"/>
                <w:szCs w:val="24"/>
              </w:rPr>
              <w:t>（1）学生社团数</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个</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1" w:type="dxa"/>
            <w:vMerge w:val="continue"/>
            <w:vAlign w:val="top"/>
          </w:tcPr>
          <w:p>
            <w:pPr>
              <w:rPr>
                <w:rFonts w:ascii="仿宋_GB2312" w:hAnsi="宋体" w:eastAsia="仿宋_GB2312"/>
                <w:sz w:val="24"/>
                <w:szCs w:val="24"/>
              </w:rPr>
            </w:pPr>
          </w:p>
        </w:tc>
        <w:tc>
          <w:tcPr>
            <w:tcW w:w="826" w:type="dxa"/>
            <w:vMerge w:val="continue"/>
            <w:vAlign w:val="top"/>
          </w:tcPr>
          <w:p>
            <w:pPr>
              <w:rPr>
                <w:rFonts w:ascii="仿宋_GB2312" w:hAnsi="宋体" w:eastAsia="仿宋_GB2312"/>
                <w:sz w:val="24"/>
                <w:szCs w:val="24"/>
              </w:rPr>
            </w:pPr>
          </w:p>
        </w:tc>
        <w:tc>
          <w:tcPr>
            <w:tcW w:w="412" w:type="dxa"/>
            <w:vMerge w:val="continue"/>
            <w:vAlign w:val="top"/>
          </w:tcPr>
          <w:p>
            <w:pPr>
              <w:rPr>
                <w:rFonts w:ascii="仿宋_GB2312" w:hAnsi="宋体" w:eastAsia="仿宋_GB2312"/>
                <w:sz w:val="24"/>
                <w:szCs w:val="24"/>
              </w:rPr>
            </w:pPr>
          </w:p>
        </w:tc>
        <w:tc>
          <w:tcPr>
            <w:tcW w:w="3299"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（2）参与各社团的学生人数</w:t>
            </w:r>
          </w:p>
        </w:tc>
        <w:tc>
          <w:tcPr>
            <w:tcW w:w="825" w:type="dxa"/>
            <w:vAlign w:val="center"/>
          </w:tcPr>
          <w:p>
            <w:pPr>
              <w:jc w:val="center"/>
              <w:rPr>
                <w:rFonts w:ascii="仿宋_GB2312" w:hAnsi="宋体" w:eastAsia="仿宋_GB2312"/>
                <w:sz w:val="24"/>
                <w:szCs w:val="24"/>
              </w:rPr>
            </w:pPr>
            <w:r>
              <w:rPr>
                <w:rFonts w:hint="eastAsia" w:ascii="仿宋_GB2312" w:hAnsi="宋体" w:eastAsia="仿宋_GB2312"/>
                <w:sz w:val="24"/>
                <w:szCs w:val="24"/>
              </w:rPr>
              <w:t>人</w:t>
            </w:r>
          </w:p>
        </w:tc>
        <w:tc>
          <w:tcPr>
            <w:tcW w:w="961" w:type="dxa"/>
            <w:vAlign w:val="top"/>
          </w:tcPr>
          <w:p>
            <w:pPr>
              <w:rPr>
                <w:rFonts w:ascii="仿宋_GB2312" w:hAnsi="宋体" w:eastAsia="仿宋_GB2312"/>
                <w:sz w:val="24"/>
                <w:szCs w:val="24"/>
              </w:rPr>
            </w:pPr>
          </w:p>
        </w:tc>
        <w:tc>
          <w:tcPr>
            <w:tcW w:w="961" w:type="dxa"/>
            <w:vAlign w:val="top"/>
          </w:tcPr>
          <w:p>
            <w:pPr>
              <w:rPr>
                <w:rFonts w:ascii="仿宋_GB2312" w:hAnsi="宋体" w:eastAsia="仿宋_GB2312"/>
                <w:sz w:val="24"/>
                <w:szCs w:val="24"/>
              </w:rPr>
            </w:pPr>
          </w:p>
        </w:tc>
        <w:tc>
          <w:tcPr>
            <w:tcW w:w="959" w:type="dxa"/>
            <w:vAlign w:val="top"/>
          </w:tcPr>
          <w:p>
            <w:pPr>
              <w:rPr>
                <w:rFonts w:ascii="仿宋_GB2312" w:hAnsi="宋体" w:eastAsia="仿宋_GB2312"/>
                <w:sz w:val="24"/>
                <w:szCs w:val="24"/>
              </w:rPr>
            </w:pPr>
            <w:r>
              <w:rPr>
                <w:rFonts w:hint="eastAsia" w:ascii="仿宋_GB2312" w:hAnsi="宋体" w:eastAsia="仿宋_GB2312"/>
                <w:sz w:val="24"/>
                <w:szCs w:val="24"/>
              </w:rPr>
              <w:t>指分别参与不同社团活动的人数，须逐一列出。</w:t>
            </w:r>
          </w:p>
        </w:tc>
      </w:tr>
    </w:tbl>
    <w:p/>
    <w:p>
      <w:pPr>
        <w:widowControl w:val="0"/>
        <w:adjustRightInd/>
        <w:snapToGrid/>
        <w:spacing w:after="0" w:line="560" w:lineRule="exact"/>
        <w:ind w:firstLine="560" w:firstLineChars="200"/>
        <w:jc w:val="both"/>
        <w:rPr>
          <w:rFonts w:hint="eastAsia" w:ascii="Times New Roman" w:hAnsi="Times New Roman" w:eastAsia="方正仿宋_GBK"/>
          <w:kern w:val="2"/>
          <w:sz w:val="28"/>
          <w:szCs w:val="32"/>
        </w:rPr>
      </w:pPr>
    </w:p>
    <w:p>
      <w:pPr>
        <w:adjustRightInd/>
        <w:snapToGrid/>
        <w:spacing w:after="0" w:line="600" w:lineRule="exact"/>
        <w:jc w:val="both"/>
        <w:rPr>
          <w:rFonts w:hint="eastAsia" w:ascii="Times New Roman" w:hAnsi="Times New Roman" w:eastAsia="方正仿宋_GBK"/>
          <w:b/>
          <w:bCs/>
          <w:color w:val="000000"/>
          <w:sz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after="0" w:line="600" w:lineRule="exact"/>
        <w:outlineLvl w:val="0"/>
        <w:rPr>
          <w:rFonts w:hint="eastAsia" w:ascii="Times New Roman" w:hAnsi="Times New Roman" w:eastAsia="方正仿宋_GBK"/>
          <w:sz w:val="28"/>
          <w:szCs w:val="28"/>
        </w:rPr>
      </w:pPr>
    </w:p>
    <w:p>
      <w:pPr>
        <w:spacing w:line="560" w:lineRule="exact"/>
        <w:rPr>
          <w:rFonts w:ascii="仿宋_GB2312" w:hAnsi="Cambria" w:eastAsia="仿宋_GB2312" w:cs="宋体"/>
          <w:sz w:val="32"/>
          <w:szCs w:val="32"/>
        </w:rPr>
      </w:pPr>
      <w:r>
        <w:rPr>
          <w:rFonts w:hint="eastAsia" w:ascii="仿宋_GB2312" w:hAnsi="Cambria" w:eastAsia="仿宋_GB2312"/>
          <w:sz w:val="32"/>
          <w:szCs w:val="32"/>
        </w:rPr>
        <w:t>附件4</w:t>
      </w:r>
    </w:p>
    <w:p>
      <w:pPr>
        <w:spacing w:after="180" w:afterLines="50"/>
        <w:ind w:firstLine="1440" w:firstLineChars="400"/>
        <w:outlineLvl w:val="0"/>
        <w:rPr>
          <w:rFonts w:ascii="黑体" w:hAnsi="黑体" w:eastAsia="黑体" w:cs="宋体"/>
          <w:sz w:val="36"/>
          <w:szCs w:val="36"/>
        </w:rPr>
      </w:pPr>
      <w:r>
        <w:rPr>
          <w:rFonts w:hint="eastAsia" w:ascii="黑体" w:hAnsi="黑体" w:eastAsia="黑体" w:cs="宋体"/>
          <w:sz w:val="36"/>
          <w:szCs w:val="36"/>
        </w:rPr>
        <w:t>“</w:t>
      </w:r>
      <w:r>
        <w:rPr>
          <w:rFonts w:hint="eastAsia" w:ascii="黑体" w:hAnsi="黑体" w:eastAsia="黑体" w:cs="微软雅黑"/>
          <w:sz w:val="36"/>
          <w:szCs w:val="36"/>
        </w:rPr>
        <w:t>资源表</w:t>
      </w:r>
      <w:r>
        <w:rPr>
          <w:rFonts w:hint="eastAsia" w:ascii="黑体" w:hAnsi="黑体" w:eastAsia="黑体" w:cs="Malgun Gothic Semilight"/>
          <w:sz w:val="36"/>
          <w:szCs w:val="36"/>
        </w:rPr>
        <w:t>”</w:t>
      </w:r>
      <w:r>
        <w:rPr>
          <w:rFonts w:hint="eastAsia" w:ascii="黑体" w:hAnsi="黑体" w:eastAsia="黑体" w:cs="微软雅黑"/>
          <w:sz w:val="36"/>
          <w:szCs w:val="36"/>
        </w:rPr>
        <w:t>指标及相关内涵说明</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“资源表”系反映高职院校基本办学条件的管理评价工具。</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1.“生师比”=在校生数/教师总数。</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2.“双师素质专任教师比例”=双师素质专任教师人数/专任教师数。</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3.“生均教学科研仪器设备值”指学校教学仪器设备总资产值与在校生总数之比。教学仪器设备资产值是指学校固定资产中用于教学、实验、实习、科研等仪器设备的资产值。统计截止时点以财政年度为准。</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4.“生均教学及辅助、行政办公用房面积”指学校教学及辅助用房和行政办公用房总面积与全日制学历教育在校生总数之比。</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5.“生均校内实践教学工位数”=校内实践教学工位总数/在校生数。其中，工位数以“高等职业院校人才培养工作状态数据”填报数为准。</w:t>
      </w:r>
    </w:p>
    <w:p>
      <w:pPr>
        <w:spacing w:line="520" w:lineRule="exact"/>
        <w:ind w:firstLine="560" w:firstLineChars="200"/>
        <w:rPr>
          <w:rFonts w:ascii="仿宋_GB2312" w:hAnsi="Cambria" w:eastAsia="仿宋_GB2312" w:cs="宋体"/>
          <w:sz w:val="28"/>
          <w:szCs w:val="28"/>
        </w:rPr>
      </w:pPr>
      <w:r>
        <w:rPr>
          <w:rFonts w:hint="eastAsia" w:ascii="仿宋_GB2312" w:hAnsi="Cambria" w:eastAsia="仿宋_GB2312" w:cs="宋体"/>
          <w:sz w:val="28"/>
          <w:szCs w:val="28"/>
        </w:rPr>
        <w:t>6.“校园网主干最大带宽”指院校内部局域网络环境主干带宽，通常分为10 Mbps、100 Mbps、1000 Mbps、10000 Mbps。</w:t>
      </w:r>
    </w:p>
    <w:p>
      <w:pPr>
        <w:spacing w:line="520" w:lineRule="exact"/>
        <w:ind w:firstLine="560" w:firstLineChars="200"/>
        <w:rPr>
          <w:rFonts w:ascii="Cambria" w:hAnsi="Cambria" w:eastAsia="仿宋_GB2312" w:cs="宋体"/>
          <w:sz w:val="30"/>
          <w:szCs w:val="30"/>
        </w:rPr>
      </w:pPr>
      <w:r>
        <w:rPr>
          <w:rFonts w:hint="eastAsia" w:ascii="仿宋_GB2312" w:hAnsi="Cambria" w:eastAsia="仿宋_GB2312" w:cs="宋体"/>
          <w:sz w:val="28"/>
          <w:szCs w:val="28"/>
        </w:rPr>
        <w:t>7.“教学计划内课程总数”指按照教学大纲要求开设的课程总量，按学年填报，须与“高等职业院校人才培养工作状态数据”一致。其中，“线上开设课程数”指按照教学大纲要求，拥有数字化教学资源，通过学校网络教学平台开展授课、答疑、讨论以及提交作业和下载课件等基本教学活动的网络课程门数。建有课程网站但不完全符合上述条件的课程，不能计入线上开设课程。</w:t>
      </w:r>
      <w:r>
        <w:rPr>
          <w:rFonts w:ascii="Cambria" w:hAnsi="Cambria" w:eastAsia="仿宋_GB2312" w:cs="宋体"/>
          <w:sz w:val="30"/>
          <w:szCs w:val="30"/>
        </w:rPr>
        <w:br w:type="page"/>
      </w:r>
    </w:p>
    <w:p>
      <w:pPr>
        <w:spacing w:after="0" w:line="600" w:lineRule="exact"/>
        <w:jc w:val="center"/>
        <w:rPr>
          <w:rFonts w:ascii="Times New Roman" w:hAnsi="Times New Roman" w:eastAsia="方正仿宋_GBK"/>
          <w:b/>
          <w:bCs/>
          <w:sz w:val="28"/>
          <w:szCs w:val="32"/>
        </w:rPr>
      </w:pPr>
      <w:r>
        <w:rPr>
          <w:rFonts w:hint="eastAsia" w:ascii="Times New Roman" w:hAnsi="Times New Roman" w:eastAsia="方正仿宋_GBK"/>
          <w:b/>
          <w:bCs/>
          <w:sz w:val="28"/>
          <w:szCs w:val="32"/>
        </w:rPr>
        <w:t>表3资源表</w:t>
      </w:r>
    </w:p>
    <w:tbl>
      <w:tblPr>
        <w:tblStyle w:val="3"/>
        <w:tblW w:w="8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54"/>
        <w:gridCol w:w="424"/>
        <w:gridCol w:w="3548"/>
        <w:gridCol w:w="993"/>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20" w:type="dxa"/>
            <w:shd w:val="clear" w:color="000000" w:fill="FFFFFF"/>
            <w:vAlign w:val="center"/>
          </w:tcPr>
          <w:p>
            <w:pPr>
              <w:spacing w:after="0" w:line="600" w:lineRule="exact"/>
              <w:rPr>
                <w:rFonts w:ascii="Times New Roman" w:hAnsi="Times New Roman" w:eastAsia="方正仿宋_GBK"/>
                <w:b/>
                <w:bCs/>
                <w:sz w:val="21"/>
                <w:szCs w:val="21"/>
              </w:rPr>
            </w:pPr>
            <w:r>
              <w:rPr>
                <w:rFonts w:hint="eastAsia" w:ascii="Times New Roman" w:hAnsi="Times New Roman" w:eastAsia="方正仿宋_GBK"/>
                <w:b/>
                <w:bCs/>
                <w:sz w:val="21"/>
                <w:szCs w:val="21"/>
              </w:rPr>
              <w:t>院校代码</w:t>
            </w:r>
          </w:p>
        </w:tc>
        <w:tc>
          <w:tcPr>
            <w:tcW w:w="854" w:type="dxa"/>
            <w:shd w:val="clear" w:color="000000" w:fill="FFFFFF"/>
            <w:vAlign w:val="center"/>
          </w:tcPr>
          <w:p>
            <w:pPr>
              <w:spacing w:after="0" w:line="600" w:lineRule="exact"/>
              <w:rPr>
                <w:rFonts w:ascii="Times New Roman" w:hAnsi="Times New Roman" w:eastAsia="方正仿宋_GBK"/>
                <w:b/>
                <w:bCs/>
                <w:sz w:val="21"/>
                <w:szCs w:val="21"/>
              </w:rPr>
            </w:pPr>
            <w:r>
              <w:rPr>
                <w:rFonts w:hint="eastAsia" w:ascii="Times New Roman" w:hAnsi="Times New Roman" w:eastAsia="方正仿宋_GBK"/>
                <w:b/>
                <w:bCs/>
                <w:sz w:val="21"/>
                <w:szCs w:val="21"/>
              </w:rPr>
              <w:t>院校名称</w:t>
            </w:r>
          </w:p>
        </w:tc>
        <w:tc>
          <w:tcPr>
            <w:tcW w:w="3972" w:type="dxa"/>
            <w:gridSpan w:val="2"/>
            <w:shd w:val="clear" w:color="000000" w:fill="FFFFFF"/>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指标</w:t>
            </w:r>
          </w:p>
        </w:tc>
        <w:tc>
          <w:tcPr>
            <w:tcW w:w="993" w:type="dxa"/>
            <w:shd w:val="clear" w:color="000000" w:fill="FFFFFF"/>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单位</w:t>
            </w:r>
          </w:p>
        </w:tc>
        <w:tc>
          <w:tcPr>
            <w:tcW w:w="993" w:type="dxa"/>
            <w:shd w:val="clear" w:color="000000" w:fill="FFFFFF"/>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2017年</w:t>
            </w:r>
          </w:p>
        </w:tc>
        <w:tc>
          <w:tcPr>
            <w:tcW w:w="992" w:type="dxa"/>
            <w:shd w:val="clear" w:color="000000" w:fill="FFFFFF"/>
            <w:vAlign w:val="center"/>
          </w:tcPr>
          <w:p>
            <w:pPr>
              <w:spacing w:after="0" w:line="600" w:lineRule="exact"/>
              <w:jc w:val="center"/>
              <w:rPr>
                <w:rFonts w:ascii="Times New Roman" w:hAnsi="Times New Roman" w:eastAsia="方正仿宋_GBK"/>
                <w:b/>
                <w:bCs/>
                <w:sz w:val="21"/>
                <w:szCs w:val="21"/>
              </w:rPr>
            </w:pPr>
            <w:r>
              <w:rPr>
                <w:rFonts w:hint="eastAsia" w:ascii="Times New Roman" w:hAnsi="Times New Roman" w:eastAsia="方正仿宋_GBK"/>
                <w:b/>
                <w:bCs/>
                <w:sz w:val="21"/>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20" w:type="dxa"/>
            <w:vMerge w:val="restart"/>
            <w:shd w:val="clear" w:color="000000" w:fill="FFFFFF"/>
            <w:vAlign w:val="bottom"/>
          </w:tcPr>
          <w:p>
            <w:pPr>
              <w:spacing w:after="0" w:line="600" w:lineRule="exact"/>
              <w:rPr>
                <w:rFonts w:ascii="Times New Roman" w:hAnsi="Times New Roman" w:eastAsia="方正仿宋_GBK"/>
                <w:sz w:val="21"/>
                <w:szCs w:val="21"/>
              </w:rPr>
            </w:pPr>
          </w:p>
        </w:tc>
        <w:tc>
          <w:tcPr>
            <w:tcW w:w="854" w:type="dxa"/>
            <w:vMerge w:val="restart"/>
            <w:shd w:val="clear" w:color="000000" w:fill="FFFFFF"/>
            <w:vAlign w:val="bottom"/>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1</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生师比</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2</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双师素质专任教师比例</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ascii="Times New Roman" w:hAnsi="Times New Roman" w:eastAsia="方正仿宋_GBK"/>
                <w:sz w:val="21"/>
                <w:szCs w:val="21"/>
              </w:rPr>
              <w:t>3</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生均教学科研仪器设备值</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元/生</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4</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生均教学及辅助、行政办公用房面积</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vertAlign w:val="superscript"/>
              </w:rPr>
            </w:pPr>
            <w:r>
              <w:rPr>
                <w:rFonts w:hint="eastAsia" w:ascii="Times New Roman" w:hAnsi="Times New Roman" w:eastAsia="方正仿宋_GBK"/>
                <w:sz w:val="21"/>
                <w:szCs w:val="21"/>
              </w:rPr>
              <w:t>m</w:t>
            </w:r>
            <w:r>
              <w:rPr>
                <w:rFonts w:hint="eastAsia" w:ascii="Times New Roman" w:hAnsi="Times New Roman" w:eastAsia="方正仿宋_GBK"/>
                <w:sz w:val="21"/>
                <w:szCs w:val="21"/>
                <w:vertAlign w:val="superscript"/>
              </w:rPr>
              <w:t>2</w:t>
            </w:r>
            <w:r>
              <w:rPr>
                <w:rFonts w:hint="eastAsia" w:ascii="Times New Roman" w:hAnsi="Times New Roman" w:eastAsia="方正仿宋_GBK"/>
                <w:sz w:val="21"/>
                <w:szCs w:val="21"/>
              </w:rPr>
              <w:t>/生</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ascii="Times New Roman" w:hAnsi="Times New Roman" w:eastAsia="方正仿宋_GBK"/>
                <w:sz w:val="21"/>
                <w:szCs w:val="21"/>
              </w:rPr>
              <w:t>5</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生均校内实践教学工位数</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个/生</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shd w:val="clear" w:color="000000" w:fill="FFFFFF"/>
            <w:vAlign w:val="center"/>
          </w:tcPr>
          <w:p>
            <w:pPr>
              <w:spacing w:after="0" w:line="600" w:lineRule="exact"/>
              <w:jc w:val="center"/>
              <w:rPr>
                <w:rFonts w:ascii="Times New Roman" w:hAnsi="Times New Roman" w:eastAsia="方正仿宋_GBK"/>
                <w:sz w:val="21"/>
                <w:szCs w:val="21"/>
              </w:rPr>
            </w:pPr>
            <w:r>
              <w:rPr>
                <w:rFonts w:ascii="Times New Roman" w:hAnsi="Times New Roman" w:eastAsia="方正仿宋_GBK"/>
                <w:sz w:val="21"/>
                <w:szCs w:val="21"/>
              </w:rPr>
              <w:t>6</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校园网主干最大带宽</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Mbps</w:t>
            </w:r>
          </w:p>
        </w:tc>
        <w:tc>
          <w:tcPr>
            <w:tcW w:w="993" w:type="dxa"/>
            <w:shd w:val="clear" w:color="000000" w:fill="FFFFFF"/>
            <w:vAlign w:val="center"/>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vMerge w:val="restart"/>
            <w:shd w:val="clear" w:color="000000" w:fill="FFFFFF"/>
            <w:vAlign w:val="center"/>
          </w:tcPr>
          <w:p>
            <w:pPr>
              <w:spacing w:after="0" w:line="600" w:lineRule="exact"/>
              <w:jc w:val="center"/>
              <w:rPr>
                <w:rFonts w:ascii="Times New Roman" w:hAnsi="Times New Roman" w:eastAsia="方正仿宋_GBK"/>
                <w:sz w:val="21"/>
                <w:szCs w:val="21"/>
              </w:rPr>
            </w:pPr>
            <w:r>
              <w:rPr>
                <w:rFonts w:ascii="Times New Roman" w:hAnsi="Times New Roman" w:eastAsia="方正仿宋_GBK"/>
                <w:sz w:val="21"/>
                <w:szCs w:val="21"/>
              </w:rPr>
              <w:t>7</w:t>
            </w:r>
          </w:p>
        </w:tc>
        <w:tc>
          <w:tcPr>
            <w:tcW w:w="3548" w:type="dxa"/>
            <w:shd w:val="clear" w:color="000000" w:fill="FFFFFF"/>
            <w:vAlign w:val="center"/>
          </w:tcPr>
          <w:p>
            <w:pPr>
              <w:spacing w:after="0" w:line="600" w:lineRule="exact"/>
              <w:rPr>
                <w:rFonts w:ascii="Times New Roman" w:hAnsi="Times New Roman" w:eastAsia="方正仿宋_GBK"/>
                <w:sz w:val="21"/>
                <w:szCs w:val="21"/>
              </w:rPr>
            </w:pPr>
            <w:r>
              <w:rPr>
                <w:rFonts w:ascii="Times New Roman" w:hAnsi="Times New Roman" w:eastAsia="方正仿宋_GBK"/>
                <w:sz w:val="21"/>
                <w:szCs w:val="21"/>
              </w:rPr>
              <w:t>教学计划内课程总数</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门</w:t>
            </w:r>
          </w:p>
        </w:tc>
        <w:tc>
          <w:tcPr>
            <w:tcW w:w="993" w:type="dxa"/>
            <w:shd w:val="clear" w:color="000000" w:fill="FFFFFF"/>
            <w:vAlign w:val="bottom"/>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424" w:type="dxa"/>
            <w:vMerge w:val="continue"/>
            <w:shd w:val="clear" w:color="000000" w:fill="FFFFFF"/>
            <w:vAlign w:val="center"/>
          </w:tcPr>
          <w:p>
            <w:pPr>
              <w:spacing w:after="0" w:line="600" w:lineRule="exact"/>
              <w:jc w:val="center"/>
              <w:rPr>
                <w:rFonts w:ascii="Times New Roman" w:hAnsi="Times New Roman" w:eastAsia="方正仿宋_GBK"/>
                <w:sz w:val="21"/>
                <w:szCs w:val="21"/>
              </w:rPr>
            </w:pPr>
          </w:p>
        </w:tc>
        <w:tc>
          <w:tcPr>
            <w:tcW w:w="3548" w:type="dxa"/>
            <w:shd w:val="clear" w:color="000000" w:fill="FFFFFF"/>
            <w:vAlign w:val="center"/>
          </w:tcPr>
          <w:p>
            <w:pPr>
              <w:spacing w:after="0" w:line="600" w:lineRule="exact"/>
              <w:ind w:firstLine="210" w:firstLineChars="100"/>
              <w:rPr>
                <w:rFonts w:ascii="Times New Roman" w:hAnsi="Times New Roman" w:eastAsia="方正仿宋_GBK"/>
                <w:sz w:val="21"/>
                <w:szCs w:val="21"/>
              </w:rPr>
            </w:pPr>
            <w:r>
              <w:rPr>
                <w:rFonts w:ascii="Times New Roman" w:hAnsi="Times New Roman" w:eastAsia="方正仿宋_GBK"/>
                <w:sz w:val="21"/>
                <w:szCs w:val="21"/>
              </w:rPr>
              <w:t>其中：线上开设课程数</w:t>
            </w:r>
          </w:p>
        </w:tc>
        <w:tc>
          <w:tcPr>
            <w:tcW w:w="993" w:type="dxa"/>
            <w:shd w:val="clear" w:color="000000" w:fill="FFFFFF"/>
            <w:vAlign w:val="center"/>
          </w:tcPr>
          <w:p>
            <w:pPr>
              <w:spacing w:after="0" w:line="600" w:lineRule="exact"/>
              <w:jc w:val="center"/>
              <w:rPr>
                <w:rFonts w:ascii="Times New Roman" w:hAnsi="Times New Roman" w:eastAsia="方正仿宋_GBK"/>
                <w:sz w:val="21"/>
                <w:szCs w:val="21"/>
              </w:rPr>
            </w:pPr>
            <w:r>
              <w:rPr>
                <w:rFonts w:hint="eastAsia" w:ascii="Times New Roman" w:hAnsi="Times New Roman" w:eastAsia="方正仿宋_GBK"/>
                <w:sz w:val="21"/>
                <w:szCs w:val="21"/>
              </w:rPr>
              <w:t>门</w:t>
            </w:r>
          </w:p>
        </w:tc>
        <w:tc>
          <w:tcPr>
            <w:tcW w:w="993" w:type="dxa"/>
            <w:shd w:val="clear" w:color="000000" w:fill="FFFFFF"/>
            <w:vAlign w:val="bottom"/>
          </w:tcPr>
          <w:p>
            <w:pPr>
              <w:spacing w:after="0" w:line="600" w:lineRule="exact"/>
              <w:rPr>
                <w:rFonts w:ascii="Times New Roman" w:hAnsi="Times New Roman" w:eastAsia="方正仿宋_GBK"/>
                <w:sz w:val="21"/>
                <w:szCs w:val="21"/>
              </w:rPr>
            </w:pPr>
          </w:p>
        </w:tc>
        <w:tc>
          <w:tcPr>
            <w:tcW w:w="992" w:type="dxa"/>
            <w:shd w:val="clear" w:color="000000" w:fill="FFFFFF"/>
            <w:vAlign w:val="center"/>
          </w:tcPr>
          <w:p>
            <w:pPr>
              <w:spacing w:after="0" w:line="600" w:lineRule="exact"/>
              <w:rPr>
                <w:rFonts w:ascii="Times New Roman" w:hAnsi="Times New Roman"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820"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854" w:type="dxa"/>
            <w:vMerge w:val="continue"/>
            <w:shd w:val="clear" w:color="auto" w:fill="auto"/>
            <w:vAlign w:val="center"/>
          </w:tcPr>
          <w:p>
            <w:pPr>
              <w:spacing w:after="0" w:line="600" w:lineRule="exact"/>
              <w:rPr>
                <w:rFonts w:ascii="Times New Roman" w:hAnsi="Times New Roman" w:eastAsia="方正仿宋_GBK"/>
                <w:sz w:val="21"/>
                <w:szCs w:val="21"/>
              </w:rPr>
            </w:pPr>
          </w:p>
        </w:tc>
        <w:tc>
          <w:tcPr>
            <w:tcW w:w="6950" w:type="dxa"/>
            <w:gridSpan w:val="5"/>
            <w:shd w:val="clear" w:color="000000" w:fill="FFFFFF"/>
            <w:vAlign w:val="center"/>
          </w:tcPr>
          <w:p>
            <w:pPr>
              <w:spacing w:after="0" w:line="600" w:lineRule="exact"/>
              <w:rPr>
                <w:rFonts w:ascii="Times New Roman" w:hAnsi="Times New Roman" w:eastAsia="方正仿宋_GBK"/>
                <w:sz w:val="21"/>
                <w:szCs w:val="21"/>
              </w:rPr>
            </w:pPr>
            <w:r>
              <w:rPr>
                <w:rFonts w:hint="eastAsia" w:ascii="Times New Roman" w:hAnsi="Times New Roman" w:eastAsia="方正仿宋_GBK"/>
                <w:sz w:val="21"/>
                <w:szCs w:val="21"/>
              </w:rPr>
              <w:t>学校类别（单选）：综合、师范、民族院校（）</w:t>
            </w:r>
          </w:p>
          <w:p>
            <w:pPr>
              <w:spacing w:after="0" w:line="600" w:lineRule="exact"/>
              <w:ind w:firstLine="1890" w:firstLineChars="900"/>
              <w:rPr>
                <w:rFonts w:ascii="Times New Roman" w:hAnsi="Times New Roman" w:eastAsia="方正仿宋_GBK"/>
                <w:sz w:val="21"/>
                <w:szCs w:val="21"/>
              </w:rPr>
            </w:pPr>
            <w:r>
              <w:rPr>
                <w:rFonts w:hint="eastAsia" w:ascii="Times New Roman" w:hAnsi="Times New Roman" w:eastAsia="方正仿宋_GBK"/>
                <w:sz w:val="21"/>
                <w:szCs w:val="21"/>
              </w:rPr>
              <w:t>工科、农、林院校（）</w:t>
            </w:r>
          </w:p>
          <w:p>
            <w:pPr>
              <w:spacing w:after="0" w:line="600" w:lineRule="exact"/>
              <w:ind w:firstLine="1890" w:firstLineChars="900"/>
              <w:rPr>
                <w:rFonts w:ascii="Times New Roman" w:hAnsi="Times New Roman" w:eastAsia="方正仿宋_GBK"/>
                <w:sz w:val="21"/>
                <w:szCs w:val="21"/>
              </w:rPr>
            </w:pPr>
            <w:r>
              <w:rPr>
                <w:rFonts w:hint="eastAsia" w:ascii="Times New Roman" w:hAnsi="Times New Roman" w:eastAsia="方正仿宋_GBK"/>
                <w:sz w:val="21"/>
                <w:szCs w:val="21"/>
              </w:rPr>
              <w:t>医学院校（）</w:t>
            </w:r>
          </w:p>
          <w:p>
            <w:pPr>
              <w:spacing w:after="0" w:line="600" w:lineRule="exact"/>
              <w:ind w:firstLine="1890" w:firstLineChars="900"/>
              <w:rPr>
                <w:rFonts w:ascii="Times New Roman" w:hAnsi="Times New Roman" w:eastAsia="方正仿宋_GBK"/>
                <w:sz w:val="21"/>
                <w:szCs w:val="21"/>
              </w:rPr>
            </w:pPr>
            <w:r>
              <w:rPr>
                <w:rFonts w:hint="eastAsia" w:ascii="Times New Roman" w:hAnsi="Times New Roman" w:eastAsia="方正仿宋_GBK"/>
                <w:sz w:val="21"/>
                <w:szCs w:val="21"/>
              </w:rPr>
              <w:t>语文、财经、政法院校（ ）</w:t>
            </w:r>
          </w:p>
          <w:p>
            <w:pPr>
              <w:spacing w:after="0" w:line="600" w:lineRule="exact"/>
              <w:ind w:firstLine="1890" w:firstLineChars="900"/>
              <w:rPr>
                <w:rFonts w:ascii="Times New Roman" w:hAnsi="Times New Roman" w:eastAsia="方正仿宋_GBK"/>
                <w:sz w:val="21"/>
                <w:szCs w:val="21"/>
              </w:rPr>
            </w:pPr>
            <w:r>
              <w:rPr>
                <w:rFonts w:hint="eastAsia" w:ascii="Times New Roman" w:hAnsi="Times New Roman" w:eastAsia="方正仿宋_GBK"/>
                <w:sz w:val="21"/>
                <w:szCs w:val="21"/>
              </w:rPr>
              <w:t>体育院校（）</w:t>
            </w:r>
          </w:p>
          <w:p>
            <w:pPr>
              <w:spacing w:after="0" w:line="600" w:lineRule="exact"/>
              <w:ind w:firstLine="1890" w:firstLineChars="900"/>
              <w:rPr>
                <w:rFonts w:ascii="Times New Roman" w:hAnsi="Times New Roman" w:eastAsia="方正仿宋_GBK"/>
                <w:sz w:val="21"/>
                <w:szCs w:val="21"/>
              </w:rPr>
            </w:pPr>
            <w:r>
              <w:rPr>
                <w:rFonts w:hint="eastAsia" w:ascii="Times New Roman" w:hAnsi="Times New Roman" w:eastAsia="方正仿宋_GBK"/>
                <w:sz w:val="21"/>
                <w:szCs w:val="21"/>
              </w:rPr>
              <w:t>艺术院校（）</w:t>
            </w:r>
          </w:p>
        </w:tc>
      </w:tr>
    </w:tbl>
    <w:p>
      <w:pPr>
        <w:spacing w:after="0" w:line="600" w:lineRule="exact"/>
        <w:jc w:val="center"/>
        <w:rPr>
          <w:rFonts w:ascii="Times New Roman" w:hAnsi="Times New Roman" w:eastAsia="方正仿宋_GBK"/>
          <w:sz w:val="28"/>
          <w:szCs w:val="29"/>
        </w:rPr>
      </w:pPr>
    </w:p>
    <w:p>
      <w:pPr>
        <w:spacing w:after="0" w:line="600" w:lineRule="exact"/>
        <w:rPr>
          <w:rFonts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r>
        <w:rPr>
          <w:rFonts w:ascii="Times New Roman" w:hAnsi="Times New Roman" w:eastAsia="方正仿宋_GBK"/>
          <w:sz w:val="28"/>
        </w:rPr>
        <w:br w:type="page"/>
      </w:r>
      <w:r>
        <w:rPr>
          <w:rFonts w:hint="eastAsia" w:ascii="Times New Roman" w:hAnsi="Times New Roman" w:eastAsia="方正仿宋_GBK"/>
          <w:sz w:val="28"/>
          <w:szCs w:val="28"/>
        </w:rPr>
        <w:t>附件5</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“国际影响表”指标及相关内涵说明</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“国际影响表”系反映高职院校国际合作和发挥影响力的管理评价工具。</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1.“全日制国（境）外留学生人数（一年以上）”指学校接收一年以上全日制教育的国（境）外留学生总数。</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2.“非全日制国（境）外人员培训量”指学校对国（境）外人员开展的各类培训项目的人日总量。</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3.“在校生服务‘走出去’企业国（境）外实习时间”指在校学生服务中国企业到国（境）外进行专业实践教学的时间。</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4.“专任教师赴国（境）外指导和开展培训时间”指学校专任教师到国（境）外进行专业实践教学指导、培训人员、技术服务和研发的时间。</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5.“在国（境）外组织担任职务的专任教师人数”指在境外团体或国际机构中担任专职或兼职工作并具有一定影响的专任教师数量。须在备注中逐一列出，否则数据无效。</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6.“开发国（境）外已采用的专业教学标准和课程标准数”指学校主持或参与开发与本校重点专业相关的专业教学标准和课程标准并得到国（境）外2个及以上国家（或地区）同行采用的数量。须在备注中逐一列出，否则数据无效。</w:t>
      </w:r>
    </w:p>
    <w:p>
      <w:pPr>
        <w:spacing w:after="0" w:line="600" w:lineRule="exact"/>
        <w:jc w:val="both"/>
        <w:rPr>
          <w:rFonts w:ascii="Times New Roman" w:hAnsi="Times New Roman" w:eastAsia="方正仿宋_GBK"/>
          <w:sz w:val="28"/>
          <w:szCs w:val="28"/>
        </w:rPr>
      </w:pPr>
      <w:r>
        <w:rPr>
          <w:rFonts w:hint="eastAsia" w:ascii="Times New Roman" w:hAnsi="Times New Roman" w:eastAsia="方正仿宋_GBK"/>
          <w:sz w:val="28"/>
          <w:szCs w:val="28"/>
        </w:rPr>
        <w:t>7.“国（境）外技能大赛获奖数量”指学校师生在与专业教学相关的国（境）外技能大赛中获得奖项的总个数，包括在国内举办的国际技能大赛上所获奖项。须在备注中逐一列出，否则数据无效。</w:t>
      </w:r>
    </w:p>
    <w:p>
      <w:pPr>
        <w:spacing w:after="0" w:line="600" w:lineRule="exact"/>
        <w:jc w:val="both"/>
        <w:rPr>
          <w:rFonts w:ascii="Times New Roman" w:hAnsi="Times New Roman" w:eastAsia="方正仿宋_GBK"/>
          <w:sz w:val="28"/>
          <w:szCs w:val="28"/>
        </w:rPr>
      </w:pPr>
    </w:p>
    <w:p>
      <w:pPr>
        <w:spacing w:line="400" w:lineRule="exact"/>
        <w:jc w:val="center"/>
        <w:rPr>
          <w:rFonts w:ascii="黑体" w:hAnsi="黑体" w:eastAsia="黑体"/>
          <w:sz w:val="32"/>
          <w:szCs w:val="32"/>
        </w:rPr>
      </w:pPr>
      <w:r>
        <w:rPr>
          <w:rFonts w:hint="eastAsia" w:ascii="黑体" w:hAnsi="黑体" w:eastAsia="黑体"/>
          <w:sz w:val="32"/>
          <w:szCs w:val="32"/>
        </w:rPr>
        <w:t>表4 国际影响表</w:t>
      </w:r>
    </w:p>
    <w:tbl>
      <w:tblPr>
        <w:tblStyle w:val="3"/>
        <w:tblW w:w="9620" w:type="dxa"/>
        <w:jc w:val="center"/>
        <w:tblInd w:w="0" w:type="dxa"/>
        <w:tblLayout w:type="fixed"/>
        <w:tblCellMar>
          <w:top w:w="0" w:type="dxa"/>
          <w:left w:w="108" w:type="dxa"/>
          <w:bottom w:w="0" w:type="dxa"/>
          <w:right w:w="108" w:type="dxa"/>
        </w:tblCellMar>
      </w:tblPr>
      <w:tblGrid>
        <w:gridCol w:w="788"/>
        <w:gridCol w:w="788"/>
        <w:gridCol w:w="452"/>
        <w:gridCol w:w="2819"/>
        <w:gridCol w:w="740"/>
        <w:gridCol w:w="1057"/>
        <w:gridCol w:w="992"/>
        <w:gridCol w:w="1984"/>
      </w:tblGrid>
      <w:tr>
        <w:tblPrEx>
          <w:tblLayout w:type="fixed"/>
          <w:tblCellMar>
            <w:top w:w="0" w:type="dxa"/>
            <w:left w:w="108" w:type="dxa"/>
            <w:bottom w:w="0" w:type="dxa"/>
            <w:right w:w="108" w:type="dxa"/>
          </w:tblCellMar>
        </w:tblPrEx>
        <w:trPr>
          <w:trHeight w:val="672"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院校代码</w:t>
            </w:r>
          </w:p>
        </w:tc>
        <w:tc>
          <w:tcPr>
            <w:tcW w:w="78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院校名称</w:t>
            </w:r>
          </w:p>
        </w:tc>
        <w:tc>
          <w:tcPr>
            <w:tcW w:w="327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指标</w:t>
            </w:r>
          </w:p>
        </w:tc>
        <w:tc>
          <w:tcPr>
            <w:tcW w:w="74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单位</w:t>
            </w:r>
          </w:p>
        </w:tc>
        <w:tc>
          <w:tcPr>
            <w:tcW w:w="1057"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2017年</w:t>
            </w:r>
          </w:p>
        </w:tc>
        <w:tc>
          <w:tcPr>
            <w:tcW w:w="992"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2018年</w:t>
            </w:r>
          </w:p>
        </w:tc>
        <w:tc>
          <w:tcPr>
            <w:tcW w:w="198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Cambria" w:eastAsia="仿宋_GB2312" w:cs="宋体"/>
                <w:b/>
                <w:bCs/>
                <w:sz w:val="24"/>
                <w:szCs w:val="24"/>
              </w:rPr>
            </w:pPr>
            <w:r>
              <w:rPr>
                <w:rFonts w:hint="eastAsia" w:ascii="仿宋_GB2312" w:hAnsi="Cambria" w:eastAsia="仿宋_GB2312" w:cs="宋体"/>
                <w:b/>
                <w:bCs/>
                <w:sz w:val="24"/>
                <w:szCs w:val="24"/>
              </w:rPr>
              <w:t>备注</w:t>
            </w:r>
          </w:p>
        </w:tc>
      </w:tr>
      <w:tr>
        <w:tblPrEx>
          <w:tblLayout w:type="fixed"/>
          <w:tblCellMar>
            <w:top w:w="0" w:type="dxa"/>
            <w:left w:w="108" w:type="dxa"/>
            <w:bottom w:w="0" w:type="dxa"/>
            <w:right w:w="108" w:type="dxa"/>
          </w:tblCellMar>
        </w:tblPrEx>
        <w:trPr>
          <w:trHeight w:val="456" w:hRule="atLeast"/>
          <w:jc w:val="center"/>
        </w:trPr>
        <w:tc>
          <w:tcPr>
            <w:tcW w:w="788"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p>
        </w:tc>
        <w:tc>
          <w:tcPr>
            <w:tcW w:w="788"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1</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全日制国（境）外留学生人数（一年以上）</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2</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非全日制国（境）外人员培训量</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人日</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3</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在校生服务“走出去”企业国（境）外实习时间</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人日</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4</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专任教师赴国（境）外指导和开展培训时间</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人日</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5</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在国（境）外组织担任职务的专任教师人数</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top"/>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填报格式：××（姓名）在××（组织名），担任××职务；须逐一列出，否则数据无效。</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vMerge w:val="restart"/>
            <w:tcBorders>
              <w:top w:val="nil"/>
              <w:left w:val="nil"/>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6</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开发并被国（境）外采用的专业教学标准数</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个</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vMerge w:val="restart"/>
            <w:tcBorders>
              <w:top w:val="nil"/>
              <w:left w:val="nil"/>
              <w:right w:val="single" w:color="auto" w:sz="4" w:space="0"/>
            </w:tcBorders>
            <w:vAlign w:val="top"/>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填报格式：开发××标准被××、××采用（该标准须被2个及以上国家或地区同行所采用）；须逐一列出，否则数据无效。</w:t>
            </w: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vMerge w:val="continue"/>
            <w:tcBorders>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开发并被国（境）外采用的课程标准数</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个</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vMerge w:val="continue"/>
            <w:tcBorders>
              <w:left w:val="nil"/>
              <w:bottom w:val="single" w:color="auto" w:sz="4" w:space="0"/>
              <w:right w:val="single" w:color="auto" w:sz="4" w:space="0"/>
            </w:tcBorders>
            <w:vAlign w:val="top"/>
          </w:tcPr>
          <w:p>
            <w:pPr>
              <w:spacing w:line="400" w:lineRule="exact"/>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56" w:hRule="atLeast"/>
          <w:jc w:val="center"/>
        </w:trPr>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788" w:type="dxa"/>
            <w:vMerge w:val="continue"/>
            <w:tcBorders>
              <w:top w:val="nil"/>
              <w:left w:val="single" w:color="auto" w:sz="4" w:space="0"/>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452"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7</w:t>
            </w:r>
          </w:p>
        </w:tc>
        <w:tc>
          <w:tcPr>
            <w:tcW w:w="2819"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国（境）外技能大赛获奖数量</w:t>
            </w:r>
          </w:p>
        </w:tc>
        <w:tc>
          <w:tcPr>
            <w:tcW w:w="740" w:type="dxa"/>
            <w:tcBorders>
              <w:top w:val="nil"/>
              <w:left w:val="nil"/>
              <w:bottom w:val="single" w:color="auto" w:sz="4" w:space="0"/>
              <w:right w:val="single" w:color="auto" w:sz="4" w:space="0"/>
            </w:tcBorders>
            <w:vAlign w:val="center"/>
          </w:tcPr>
          <w:p>
            <w:pPr>
              <w:spacing w:line="400" w:lineRule="exact"/>
              <w:jc w:val="center"/>
              <w:rPr>
                <w:rFonts w:ascii="仿宋_GB2312" w:hAnsi="Cambria" w:eastAsia="仿宋_GB2312" w:cs="宋体"/>
                <w:sz w:val="24"/>
                <w:szCs w:val="24"/>
              </w:rPr>
            </w:pPr>
            <w:r>
              <w:rPr>
                <w:rFonts w:hint="eastAsia" w:ascii="仿宋_GB2312" w:hAnsi="Cambria" w:eastAsia="仿宋_GB2312" w:cs="宋体"/>
                <w:sz w:val="24"/>
                <w:szCs w:val="24"/>
              </w:rPr>
              <w:t>项</w:t>
            </w:r>
          </w:p>
        </w:tc>
        <w:tc>
          <w:tcPr>
            <w:tcW w:w="1057"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992" w:type="dxa"/>
            <w:tcBorders>
              <w:top w:val="nil"/>
              <w:left w:val="nil"/>
              <w:bottom w:val="single" w:color="auto" w:sz="4" w:space="0"/>
              <w:right w:val="single" w:color="auto" w:sz="4" w:space="0"/>
            </w:tcBorders>
            <w:vAlign w:val="center"/>
          </w:tcPr>
          <w:p>
            <w:pPr>
              <w:spacing w:line="400" w:lineRule="exact"/>
              <w:rPr>
                <w:rFonts w:ascii="仿宋_GB2312" w:hAnsi="Cambria" w:eastAsia="仿宋_GB2312" w:cs="宋体"/>
                <w:sz w:val="24"/>
                <w:szCs w:val="24"/>
              </w:rPr>
            </w:pPr>
          </w:p>
        </w:tc>
        <w:tc>
          <w:tcPr>
            <w:tcW w:w="1984" w:type="dxa"/>
            <w:tcBorders>
              <w:top w:val="nil"/>
              <w:left w:val="nil"/>
              <w:bottom w:val="single" w:color="auto" w:sz="4" w:space="0"/>
              <w:right w:val="single" w:color="auto" w:sz="4" w:space="0"/>
            </w:tcBorders>
            <w:vAlign w:val="top"/>
          </w:tcPr>
          <w:p>
            <w:pPr>
              <w:spacing w:line="400" w:lineRule="exact"/>
              <w:rPr>
                <w:rFonts w:ascii="仿宋_GB2312" w:hAnsi="Cambria" w:eastAsia="仿宋_GB2312" w:cs="宋体"/>
                <w:sz w:val="24"/>
                <w:szCs w:val="24"/>
              </w:rPr>
            </w:pPr>
            <w:r>
              <w:rPr>
                <w:rFonts w:hint="eastAsia" w:ascii="仿宋_GB2312" w:hAnsi="Cambria" w:eastAsia="仿宋_GB2312" w:cs="宋体"/>
                <w:sz w:val="24"/>
                <w:szCs w:val="24"/>
              </w:rPr>
              <w:t>填报格式：××（姓名）在××（大赛名），获××奖；须逐一列出，否则数据无效。</w:t>
            </w:r>
          </w:p>
        </w:tc>
      </w:tr>
    </w:tbl>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附件6</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“服务贡献表”指标及相关内涵说明</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“服务贡献表”系反映高职院校服务地方和行业发展的管理评价工具。</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1.毕业生就业去向分为四类：</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A类是毕业生留在当地（公办学校：如省级财政投入经费的以省域为“当地”，地级财政投入经费的以地级市域为“当地”，以此类推；民办学校：以学校所在地为“当地”；如有异地校区则分别统计）就业人数；B类是毕业生去西部地区和东北老工业基地就业人数（西部地区包括四川、重庆、贵州、云南、西藏、陕西、甘肃、青海、宁夏、新疆、广西、内蒙古等12个省份；东北老工业基地包括辽宁、吉林、黑龙江等3个省份）；C类是毕业生到中小微企业（具体标准参见《关于印发中小企业划型标准规定的通知》（工信部联企业〔2011〕300号））服务人数；D类是毕业生到500强企业（指在过去5年曾经是世界500强或中国企业500强的企业）就业人数。各高职院校根据实际分别填写以上四类，各地在本省质量年报中可汇总分析以上四类情况。</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2.“横向技术服务到款额”指以学校名义与自然人、法人、其他组织签订的技术开发、技术服务、技术咨询、技术转让等技术合同所涉及的经费；国际科技合作项目中与境外企业、个人合作经费及科技捐赠项目经费。“横向技术服务产生的经济效益”指学校为上述自然人、法人、其他组织提供相关服务以及国际科技合作项目中所产生的经济效益，统计截止时点以财政年度为准。</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3.“纵向科研经费到款额”指通过承担</w:t>
      </w:r>
      <w:r>
        <w:rPr>
          <w:rFonts w:hint="eastAsia" w:ascii="Times New Roman" w:hAnsi="Times New Roman" w:eastAsia="方正仿宋_GBK"/>
          <w:sz w:val="28"/>
          <w:szCs w:val="28"/>
        </w:rPr>
        <w:fldChar w:fldCharType="begin"/>
      </w:r>
      <w:r>
        <w:rPr>
          <w:rFonts w:hint="eastAsia" w:ascii="Times New Roman" w:hAnsi="Times New Roman" w:eastAsia="方正仿宋_GBK"/>
          <w:sz w:val="28"/>
          <w:szCs w:val="28"/>
        </w:rPr>
        <w:instrText xml:space="preserve"> HYPERLINK "http://wiki.mbalib.com/wiki/%E5%9B%BD%E5%AE%B6" \o "国家" </w:instrText>
      </w:r>
      <w:r>
        <w:rPr>
          <w:rFonts w:hint="eastAsia" w:ascii="Times New Roman" w:hAnsi="Times New Roman" w:eastAsia="方正仿宋_GBK"/>
          <w:sz w:val="28"/>
          <w:szCs w:val="28"/>
        </w:rPr>
        <w:fldChar w:fldCharType="separate"/>
      </w:r>
      <w:r>
        <w:rPr>
          <w:rFonts w:hint="eastAsia" w:ascii="Times New Roman" w:hAnsi="Times New Roman" w:eastAsia="方正仿宋_GBK"/>
          <w:sz w:val="28"/>
          <w:szCs w:val="28"/>
        </w:rPr>
        <w:t>国家</w:t>
      </w:r>
      <w:r>
        <w:rPr>
          <w:rFonts w:hint="eastAsia" w:ascii="Times New Roman" w:hAnsi="Times New Roman" w:eastAsia="方正仿宋_GBK"/>
          <w:sz w:val="28"/>
          <w:szCs w:val="28"/>
        </w:rPr>
        <w:fldChar w:fldCharType="end"/>
      </w:r>
      <w:r>
        <w:rPr>
          <w:rFonts w:hint="eastAsia" w:ascii="Times New Roman" w:hAnsi="Times New Roman" w:eastAsia="方正仿宋_GBK"/>
          <w:sz w:val="28"/>
          <w:szCs w:val="28"/>
        </w:rPr>
        <w:t>、地方政府常设的</w:t>
      </w:r>
      <w:r>
        <w:rPr>
          <w:rFonts w:hint="eastAsia" w:ascii="Times New Roman" w:hAnsi="Times New Roman" w:eastAsia="方正仿宋_GBK"/>
          <w:sz w:val="28"/>
          <w:szCs w:val="28"/>
        </w:rPr>
        <w:fldChar w:fldCharType="begin"/>
      </w:r>
      <w:r>
        <w:rPr>
          <w:rFonts w:hint="eastAsia" w:ascii="Times New Roman" w:hAnsi="Times New Roman" w:eastAsia="方正仿宋_GBK"/>
          <w:sz w:val="28"/>
          <w:szCs w:val="28"/>
        </w:rPr>
        <w:instrText xml:space="preserve"> HYPERLINK "http://wiki.mbalib.com/wiki/%E8%AE%A1%E5%88%92" \o "计划" </w:instrText>
      </w:r>
      <w:r>
        <w:rPr>
          <w:rFonts w:hint="eastAsia" w:ascii="Times New Roman" w:hAnsi="Times New Roman" w:eastAsia="方正仿宋_GBK"/>
          <w:sz w:val="28"/>
          <w:szCs w:val="28"/>
        </w:rPr>
        <w:fldChar w:fldCharType="separate"/>
      </w:r>
      <w:r>
        <w:rPr>
          <w:rFonts w:hint="eastAsia" w:ascii="Times New Roman" w:hAnsi="Times New Roman" w:eastAsia="方正仿宋_GBK"/>
          <w:sz w:val="28"/>
          <w:szCs w:val="28"/>
        </w:rPr>
        <w:t>计划</w:t>
      </w:r>
      <w:r>
        <w:rPr>
          <w:rFonts w:hint="eastAsia" w:ascii="Times New Roman" w:hAnsi="Times New Roman" w:eastAsia="方正仿宋_GBK"/>
          <w:sz w:val="28"/>
          <w:szCs w:val="28"/>
        </w:rPr>
        <w:fldChar w:fldCharType="end"/>
      </w:r>
      <w:r>
        <w:rPr>
          <w:rFonts w:hint="eastAsia" w:ascii="Times New Roman" w:hAnsi="Times New Roman" w:eastAsia="方正仿宋_GBK"/>
          <w:sz w:val="28"/>
          <w:szCs w:val="28"/>
        </w:rPr>
        <w:fldChar w:fldCharType="begin"/>
      </w:r>
      <w:r>
        <w:rPr>
          <w:rFonts w:hint="eastAsia" w:ascii="Times New Roman" w:hAnsi="Times New Roman" w:eastAsia="方正仿宋_GBK"/>
          <w:sz w:val="28"/>
          <w:szCs w:val="28"/>
        </w:rPr>
        <w:instrText xml:space="preserve"> HYPERLINK "http://wiki.mbalib.com/wiki/%E9%A1%B9%E7%9B%AE" \o "项目" </w:instrText>
      </w:r>
      <w:r>
        <w:rPr>
          <w:rFonts w:hint="eastAsia" w:ascii="Times New Roman" w:hAnsi="Times New Roman" w:eastAsia="方正仿宋_GBK"/>
          <w:sz w:val="28"/>
          <w:szCs w:val="28"/>
        </w:rPr>
        <w:fldChar w:fldCharType="separate"/>
      </w:r>
      <w:r>
        <w:rPr>
          <w:rFonts w:hint="eastAsia" w:ascii="Times New Roman" w:hAnsi="Times New Roman" w:eastAsia="方正仿宋_GBK"/>
          <w:sz w:val="28"/>
          <w:szCs w:val="28"/>
        </w:rPr>
        <w:t>项目</w:t>
      </w:r>
      <w:r>
        <w:rPr>
          <w:rFonts w:hint="eastAsia" w:ascii="Times New Roman" w:hAnsi="Times New Roman" w:eastAsia="方正仿宋_GBK"/>
          <w:sz w:val="28"/>
          <w:szCs w:val="28"/>
        </w:rPr>
        <w:fldChar w:fldCharType="end"/>
      </w:r>
      <w:r>
        <w:rPr>
          <w:rFonts w:hint="eastAsia" w:ascii="Times New Roman" w:hAnsi="Times New Roman" w:eastAsia="方正仿宋_GBK"/>
          <w:sz w:val="28"/>
          <w:szCs w:val="28"/>
        </w:rPr>
        <w:t>或专项项目取得的科研项目经费。统计截止时点以财政年度为准。</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4.“技术交易到款额”指政府或企业通过技术市场购买院校的专利和技术成果、购买技术转让、委托技术研发等支付到账的费用。统计截止时点以财政年度为准。</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5.“非学历培训到款额”指为社会进行的非学历性培训已到账的收入。统计截止时点以财政年度为准。</w:t>
      </w:r>
    </w:p>
    <w:p>
      <w:pPr>
        <w:spacing w:after="0" w:line="600" w:lineRule="exact"/>
        <w:jc w:val="both"/>
        <w:rPr>
          <w:rFonts w:hint="eastAsia" w:ascii="Times New Roman" w:hAnsi="Times New Roman" w:eastAsia="方正仿宋_GBK"/>
          <w:sz w:val="28"/>
          <w:szCs w:val="28"/>
        </w:rPr>
      </w:pPr>
      <w:r>
        <w:rPr>
          <w:rFonts w:hint="eastAsia" w:ascii="Times New Roman" w:hAnsi="Times New Roman" w:eastAsia="方正仿宋_GBK"/>
          <w:sz w:val="28"/>
          <w:szCs w:val="28"/>
        </w:rPr>
        <w:t>6.“公益性培训服务”指为社会进行的免费培训的规模，不含针对校内学生和教师的培训。</w:t>
      </w: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hint="eastAsia" w:ascii="黑体" w:hAnsi="黑体" w:eastAsia="黑体"/>
          <w:sz w:val="32"/>
          <w:szCs w:val="32"/>
        </w:rPr>
      </w:pPr>
    </w:p>
    <w:p>
      <w:pPr>
        <w:spacing w:line="312" w:lineRule="auto"/>
        <w:jc w:val="center"/>
        <w:rPr>
          <w:rFonts w:ascii="黑体" w:hAnsi="黑体" w:eastAsia="黑体"/>
          <w:sz w:val="32"/>
          <w:szCs w:val="32"/>
        </w:rPr>
      </w:pPr>
      <w:r>
        <w:rPr>
          <w:rFonts w:hint="eastAsia" w:ascii="黑体" w:hAnsi="黑体" w:eastAsia="黑体"/>
          <w:sz w:val="32"/>
          <w:szCs w:val="32"/>
        </w:rPr>
        <w:t>表5 服务贡献表</w:t>
      </w:r>
    </w:p>
    <w:tbl>
      <w:tblPr>
        <w:tblStyle w:val="3"/>
        <w:tblW w:w="8624" w:type="dxa"/>
        <w:jc w:val="center"/>
        <w:tblInd w:w="0" w:type="dxa"/>
        <w:tblLayout w:type="fixed"/>
        <w:tblCellMar>
          <w:top w:w="0" w:type="dxa"/>
          <w:left w:w="108" w:type="dxa"/>
          <w:bottom w:w="0" w:type="dxa"/>
          <w:right w:w="108" w:type="dxa"/>
        </w:tblCellMar>
      </w:tblPr>
      <w:tblGrid>
        <w:gridCol w:w="718"/>
        <w:gridCol w:w="723"/>
        <w:gridCol w:w="409"/>
        <w:gridCol w:w="2658"/>
        <w:gridCol w:w="852"/>
        <w:gridCol w:w="993"/>
        <w:gridCol w:w="995"/>
        <w:gridCol w:w="1276"/>
      </w:tblGrid>
      <w:tr>
        <w:tblPrEx>
          <w:tblLayout w:type="fixed"/>
          <w:tblCellMar>
            <w:top w:w="0" w:type="dxa"/>
            <w:left w:w="108" w:type="dxa"/>
            <w:bottom w:w="0" w:type="dxa"/>
            <w:right w:w="108" w:type="dxa"/>
          </w:tblCellMar>
        </w:tblPrEx>
        <w:trPr>
          <w:trHeight w:val="420" w:hRule="atLeast"/>
          <w:jc w:val="center"/>
        </w:trPr>
        <w:tc>
          <w:tcPr>
            <w:tcW w:w="718"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hAnsi="Cambria" w:eastAsia="仿宋_GB2312" w:cs="宋体"/>
                <w:b/>
                <w:bCs/>
                <w:sz w:val="24"/>
                <w:szCs w:val="24"/>
              </w:rPr>
            </w:pPr>
            <w:r>
              <w:rPr>
                <w:rFonts w:hint="eastAsia" w:ascii="仿宋_GB2312" w:hAnsi="Cambria" w:eastAsia="仿宋_GB2312" w:cs="宋体"/>
                <w:b/>
                <w:bCs/>
                <w:sz w:val="24"/>
                <w:szCs w:val="24"/>
              </w:rPr>
              <w:t>院校代码</w:t>
            </w:r>
          </w:p>
        </w:tc>
        <w:tc>
          <w:tcPr>
            <w:tcW w:w="723"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仿宋_GB2312" w:hAnsi="Cambria" w:eastAsia="仿宋_GB2312" w:cs="宋体"/>
                <w:b/>
                <w:bCs/>
                <w:sz w:val="24"/>
                <w:szCs w:val="24"/>
              </w:rPr>
            </w:pPr>
            <w:r>
              <w:rPr>
                <w:rFonts w:hint="eastAsia" w:ascii="仿宋_GB2312" w:hAnsi="Cambria" w:eastAsia="仿宋_GB2312" w:cs="宋体"/>
                <w:b/>
                <w:bCs/>
                <w:sz w:val="24"/>
                <w:szCs w:val="24"/>
              </w:rPr>
              <w:t>院校名称</w:t>
            </w:r>
          </w:p>
        </w:tc>
        <w:tc>
          <w:tcPr>
            <w:tcW w:w="3067"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_GB2312" w:hAnsi="Cambria" w:eastAsia="仿宋_GB2312" w:cs="宋体"/>
                <w:b/>
                <w:bCs/>
                <w:sz w:val="24"/>
                <w:szCs w:val="24"/>
              </w:rPr>
            </w:pPr>
            <w:r>
              <w:rPr>
                <w:rFonts w:hint="eastAsia" w:ascii="仿宋_GB2312" w:hAnsi="Cambria" w:eastAsia="仿宋_GB2312" w:cs="宋体"/>
                <w:b/>
                <w:bCs/>
                <w:sz w:val="24"/>
                <w:szCs w:val="24"/>
              </w:rPr>
              <w:t>指标</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b/>
                <w:bCs/>
                <w:sz w:val="24"/>
                <w:szCs w:val="24"/>
              </w:rPr>
            </w:pPr>
            <w:r>
              <w:rPr>
                <w:rFonts w:hint="eastAsia" w:ascii="仿宋_GB2312" w:hAnsi="Cambria" w:eastAsia="仿宋_GB2312" w:cs="宋体"/>
                <w:b/>
                <w:bCs/>
                <w:sz w:val="24"/>
                <w:szCs w:val="24"/>
              </w:rPr>
              <w:t>单位</w:t>
            </w:r>
          </w:p>
        </w:tc>
        <w:tc>
          <w:tcPr>
            <w:tcW w:w="993"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b/>
                <w:bCs/>
                <w:sz w:val="24"/>
                <w:szCs w:val="24"/>
              </w:rPr>
            </w:pPr>
            <w:r>
              <w:rPr>
                <w:rFonts w:hint="eastAsia" w:ascii="仿宋_GB2312" w:hAnsi="Cambria" w:eastAsia="仿宋_GB2312" w:cs="宋体"/>
                <w:b/>
                <w:bCs/>
                <w:sz w:val="24"/>
                <w:szCs w:val="24"/>
              </w:rPr>
              <w:t>2017年</w:t>
            </w:r>
          </w:p>
        </w:tc>
        <w:tc>
          <w:tcPr>
            <w:tcW w:w="9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b/>
                <w:bCs/>
                <w:sz w:val="24"/>
                <w:szCs w:val="24"/>
              </w:rPr>
            </w:pPr>
            <w:r>
              <w:rPr>
                <w:rFonts w:hint="eastAsia" w:ascii="仿宋_GB2312" w:hAnsi="Cambria" w:eastAsia="仿宋_GB2312" w:cs="宋体"/>
                <w:b/>
                <w:bCs/>
                <w:sz w:val="24"/>
                <w:szCs w:val="24"/>
              </w:rPr>
              <w:t>2018年</w:t>
            </w:r>
          </w:p>
        </w:tc>
        <w:tc>
          <w:tcPr>
            <w:tcW w:w="1276" w:type="dxa"/>
            <w:tcBorders>
              <w:top w:val="single" w:color="auto" w:sz="4" w:space="0"/>
              <w:left w:val="nil"/>
              <w:bottom w:val="single" w:color="auto" w:sz="4" w:space="0"/>
              <w:right w:val="single" w:color="auto" w:sz="4" w:space="0"/>
            </w:tcBorders>
            <w:shd w:val="clear" w:color="000000" w:fill="FFFFFF"/>
            <w:vAlign w:val="top"/>
          </w:tcPr>
          <w:p>
            <w:pPr>
              <w:jc w:val="center"/>
              <w:rPr>
                <w:rFonts w:ascii="仿宋_GB2312" w:hAnsi="Cambria" w:eastAsia="仿宋_GB2312" w:cs="宋体"/>
                <w:b/>
                <w:bCs/>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restart"/>
            <w:tcBorders>
              <w:top w:val="single" w:color="auto" w:sz="4" w:space="0"/>
              <w:left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723" w:type="dxa"/>
            <w:vMerge w:val="restart"/>
            <w:tcBorders>
              <w:top w:val="single" w:color="auto" w:sz="4" w:space="0"/>
              <w:left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409"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1</w:t>
            </w:r>
          </w:p>
        </w:tc>
        <w:tc>
          <w:tcPr>
            <w:tcW w:w="2658" w:type="dxa"/>
            <w:tcBorders>
              <w:top w:val="single" w:color="auto" w:sz="4" w:space="0"/>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全日制在校生人数</w:t>
            </w:r>
          </w:p>
        </w:tc>
        <w:tc>
          <w:tcPr>
            <w:tcW w:w="852"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single" w:color="auto" w:sz="4" w:space="0"/>
              <w:left w:val="nil"/>
              <w:bottom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995" w:type="dxa"/>
            <w:tcBorders>
              <w:top w:val="single" w:color="auto" w:sz="4" w:space="0"/>
              <w:left w:val="nil"/>
              <w:bottom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1276" w:type="dxa"/>
            <w:tcBorders>
              <w:top w:val="single" w:color="auto" w:sz="4" w:space="0"/>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000000" w:fill="FFFFFF"/>
            <w:vAlign w:val="bottom"/>
          </w:tcPr>
          <w:p>
            <w:pPr>
              <w:jc w:val="cente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000000" w:fill="FFFFFF"/>
            <w:vAlign w:val="bottom"/>
          </w:tcPr>
          <w:p>
            <w:pPr>
              <w:jc w:val="cente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毕业生人数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bottom"/>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其中：就业人数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jc w:val="cente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8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毕业生就业去向：</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w:t>
            </w:r>
          </w:p>
        </w:tc>
        <w:tc>
          <w:tcPr>
            <w:tcW w:w="993"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w:t>
            </w:r>
          </w:p>
        </w:tc>
        <w:tc>
          <w:tcPr>
            <w:tcW w:w="995"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w:t>
            </w:r>
          </w:p>
        </w:tc>
        <w:tc>
          <w:tcPr>
            <w:tcW w:w="1276" w:type="dxa"/>
            <w:tcBorders>
              <w:top w:val="nil"/>
              <w:left w:val="nil"/>
              <w:bottom w:val="single" w:color="auto" w:sz="4" w:space="0"/>
              <w:right w:val="single" w:color="auto" w:sz="4" w:space="0"/>
            </w:tcBorders>
            <w:shd w:val="clear" w:color="000000" w:fill="FFFFFF"/>
            <w:vAlign w:val="top"/>
          </w:tcPr>
          <w:p>
            <w:pPr>
              <w:jc w:val="cente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A类:留在当地就业人数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B类:到西部地区和东北地区就业人数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C类:到中小微企业等基层服务人数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D类:到500强企业就业人数</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restart"/>
            <w:tcBorders>
              <w:top w:val="nil"/>
              <w:left w:val="nil"/>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2</w:t>
            </w: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横向技术服务到款额</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vMerge w:val="continue"/>
            <w:tcBorders>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横向技术服务产生的经济效益</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r>
              <w:rPr>
                <w:rFonts w:hint="eastAsia" w:ascii="仿宋_GB2312" w:hAnsi="Cambria" w:eastAsia="仿宋_GB2312" w:cs="宋体"/>
                <w:sz w:val="24"/>
                <w:szCs w:val="24"/>
              </w:rPr>
              <w:t>提供产生经济效益的企业出具的证明，并盖财务章。</w:t>
            </w: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3</w:t>
            </w: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纵向科研经费到款额</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4</w:t>
            </w: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技术交易到款额</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5</w:t>
            </w: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非学历培训到款额</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409"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6</w:t>
            </w:r>
          </w:p>
        </w:tc>
        <w:tc>
          <w:tcPr>
            <w:tcW w:w="2658"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公益性培训服务</w:t>
            </w:r>
          </w:p>
        </w:tc>
        <w:tc>
          <w:tcPr>
            <w:tcW w:w="852" w:type="dxa"/>
            <w:tcBorders>
              <w:top w:val="nil"/>
              <w:left w:val="nil"/>
              <w:bottom w:val="single" w:color="auto" w:sz="4" w:space="0"/>
              <w:right w:val="single" w:color="auto" w:sz="4" w:space="0"/>
            </w:tcBorders>
            <w:shd w:val="clear" w:color="000000" w:fill="FFFFFF"/>
            <w:vAlign w:val="center"/>
          </w:tcPr>
          <w:p>
            <w:pPr>
              <w:jc w:val="center"/>
              <w:rPr>
                <w:rFonts w:ascii="仿宋_GB2312" w:hAnsi="Cambria" w:eastAsia="仿宋_GB2312" w:cs="宋体"/>
                <w:sz w:val="24"/>
                <w:szCs w:val="24"/>
              </w:rPr>
            </w:pPr>
            <w:r>
              <w:rPr>
                <w:rFonts w:hint="eastAsia" w:ascii="仿宋_GB2312" w:hAnsi="Cambria" w:eastAsia="仿宋_GB2312" w:cs="宋体"/>
                <w:sz w:val="24"/>
                <w:szCs w:val="24"/>
              </w:rPr>
              <w:t>人日</w:t>
            </w:r>
          </w:p>
        </w:tc>
        <w:tc>
          <w:tcPr>
            <w:tcW w:w="993"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995" w:type="dxa"/>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20" w:hRule="atLeast"/>
          <w:jc w:val="center"/>
        </w:trPr>
        <w:tc>
          <w:tcPr>
            <w:tcW w:w="718"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723" w:type="dxa"/>
            <w:vMerge w:val="continue"/>
            <w:tcBorders>
              <w:left w:val="single" w:color="auto" w:sz="4" w:space="0"/>
              <w:bottom w:val="single" w:color="auto" w:sz="4" w:space="0"/>
              <w:right w:val="single" w:color="auto" w:sz="4" w:space="0"/>
            </w:tcBorders>
            <w:shd w:val="clear" w:color="auto" w:fill="auto"/>
            <w:vAlign w:val="center"/>
          </w:tcPr>
          <w:p>
            <w:pPr>
              <w:rPr>
                <w:rFonts w:ascii="仿宋_GB2312" w:hAnsi="Cambria" w:eastAsia="仿宋_GB2312" w:cs="宋体"/>
                <w:sz w:val="24"/>
                <w:szCs w:val="24"/>
              </w:rPr>
            </w:pPr>
          </w:p>
        </w:tc>
        <w:tc>
          <w:tcPr>
            <w:tcW w:w="5907" w:type="dxa"/>
            <w:gridSpan w:val="5"/>
            <w:tcBorders>
              <w:top w:val="nil"/>
              <w:left w:val="nil"/>
              <w:bottom w:val="single" w:color="auto" w:sz="4" w:space="0"/>
              <w:right w:val="single" w:color="auto" w:sz="4" w:space="0"/>
            </w:tcBorders>
            <w:shd w:val="clear" w:color="000000" w:fill="FFFFFF"/>
            <w:vAlign w:val="center"/>
          </w:tcPr>
          <w:p>
            <w:pPr>
              <w:rPr>
                <w:rFonts w:ascii="仿宋_GB2312" w:hAnsi="Cambria" w:eastAsia="仿宋_GB2312" w:cs="宋体"/>
                <w:sz w:val="24"/>
                <w:szCs w:val="24"/>
              </w:rPr>
            </w:pPr>
            <w:r>
              <w:rPr>
                <w:rFonts w:hint="eastAsia" w:ascii="仿宋_GB2312" w:hAnsi="Cambria" w:eastAsia="仿宋_GB2312" w:cs="宋体"/>
                <w:sz w:val="24"/>
                <w:szCs w:val="24"/>
              </w:rPr>
              <w:t>主要办学经费来源（单选）：省级（）   地市级（）</w:t>
            </w:r>
          </w:p>
          <w:p>
            <w:pPr>
              <w:ind w:firstLine="2400" w:firstLineChars="1000"/>
              <w:rPr>
                <w:rFonts w:ascii="仿宋_GB2312" w:hAnsi="Cambria" w:eastAsia="仿宋_GB2312" w:cs="宋体"/>
                <w:sz w:val="24"/>
                <w:szCs w:val="24"/>
              </w:rPr>
            </w:pPr>
            <w:r>
              <w:rPr>
                <w:rFonts w:hint="eastAsia" w:ascii="仿宋_GB2312" w:hAnsi="Cambria" w:eastAsia="仿宋_GB2312" w:cs="宋体"/>
                <w:sz w:val="24"/>
                <w:szCs w:val="24"/>
              </w:rPr>
              <w:t>行业或企业（）     其他（）</w:t>
            </w:r>
          </w:p>
        </w:tc>
        <w:tc>
          <w:tcPr>
            <w:tcW w:w="1276" w:type="dxa"/>
            <w:tcBorders>
              <w:top w:val="nil"/>
              <w:left w:val="nil"/>
              <w:bottom w:val="single" w:color="auto" w:sz="4" w:space="0"/>
              <w:right w:val="single" w:color="auto" w:sz="4" w:space="0"/>
            </w:tcBorders>
            <w:shd w:val="clear" w:color="000000" w:fill="FFFFFF"/>
            <w:vAlign w:val="top"/>
          </w:tcPr>
          <w:p>
            <w:pPr>
              <w:rPr>
                <w:rFonts w:ascii="仿宋_GB2312" w:hAnsi="Cambria" w:eastAsia="仿宋_GB2312" w:cs="宋体"/>
                <w:sz w:val="24"/>
                <w:szCs w:val="24"/>
              </w:rPr>
            </w:pPr>
          </w:p>
        </w:tc>
      </w:tr>
    </w:tbl>
    <w:p/>
    <w:p/>
    <w:p>
      <w:pPr>
        <w:rPr>
          <w:rFonts w:ascii="仿宋_GB2312" w:hAnsi="Cambria" w:eastAsia="仿宋_GB2312"/>
          <w:sz w:val="32"/>
          <w:szCs w:val="32"/>
        </w:rPr>
      </w:pPr>
      <w:r>
        <w:rPr>
          <w:rFonts w:hint="eastAsia" w:ascii="仿宋_GB2312" w:hAnsi="Cambria" w:eastAsia="仿宋_GB2312"/>
          <w:sz w:val="32"/>
          <w:szCs w:val="32"/>
        </w:rPr>
        <w:t>附件7</w:t>
      </w:r>
    </w:p>
    <w:p>
      <w:pPr>
        <w:spacing w:after="180" w:afterLines="50"/>
        <w:ind w:firstLine="1440" w:firstLineChars="400"/>
        <w:outlineLvl w:val="0"/>
        <w:rPr>
          <w:rFonts w:ascii="黑体" w:hAnsi="黑体" w:eastAsia="黑体" w:cs="宋体"/>
          <w:sz w:val="36"/>
          <w:szCs w:val="36"/>
        </w:rPr>
      </w:pPr>
      <w:r>
        <w:rPr>
          <w:rFonts w:hint="eastAsia" w:ascii="黑体" w:hAnsi="黑体" w:eastAsia="黑体" w:cs="宋体"/>
          <w:sz w:val="36"/>
          <w:szCs w:val="36"/>
        </w:rPr>
        <w:t>“</w:t>
      </w:r>
      <w:r>
        <w:rPr>
          <w:rFonts w:hint="eastAsia" w:ascii="黑体" w:hAnsi="黑体" w:eastAsia="黑体" w:cs="微软雅黑"/>
          <w:sz w:val="36"/>
          <w:szCs w:val="36"/>
        </w:rPr>
        <w:t>落实政策表</w:t>
      </w:r>
      <w:r>
        <w:rPr>
          <w:rFonts w:hint="eastAsia" w:ascii="黑体" w:hAnsi="黑体" w:eastAsia="黑体" w:cs="Malgun Gothic Semilight"/>
          <w:sz w:val="36"/>
          <w:szCs w:val="36"/>
        </w:rPr>
        <w:t>”</w:t>
      </w:r>
      <w:r>
        <w:rPr>
          <w:rFonts w:hint="eastAsia" w:ascii="黑体" w:hAnsi="黑体" w:eastAsia="黑体" w:cs="微软雅黑"/>
          <w:sz w:val="36"/>
          <w:szCs w:val="36"/>
        </w:rPr>
        <w:t>指标及相关内涵说明</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“落实政策表”系通过院校数据反映政府落实国家发展高职教育政策情况的管理评价工具。</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1.“年生均财政拨款水平”：按照《财政部 教育部关于建立完善以改革和绩效为导向的生均拨款制度加快发展现代高等职业教育的意见》（财教〔2014〕352号）要求，“年生均财政拨款水平”是指政府收支分类科目“2050305高等职业教育”中，地方财政通过一般公共预算安排用于支持高职院校发展的经费，按全日制高等职业学历教育在校生人数折算的平均水平，包括基本支出和项目支出。“年生均财政专项经费”是指“年生均财政拨款水平”中的专项经费支出。</w:t>
      </w:r>
      <w:r>
        <w:rPr>
          <w:rFonts w:hint="eastAsia" w:ascii="仿宋_GB2312" w:hAnsi="Cambria" w:eastAsia="仿宋_GB2312" w:cs="宋体"/>
          <w:sz w:val="28"/>
          <w:szCs w:val="28"/>
        </w:rPr>
        <w:t>统计截止时点以财政年度为准。</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2.“教职员工额定编制数”指人力资源保障部门核定的学校教职工编制数；“在岗教职员工总数”指学校在编在岗教职员工和编外聘用的教学、科研和行政岗位人员总数（不含编外聘用的工勤人员）。“专任教师总数”指具有教师资格，专门从事教学工作的人员，可包括正式签约聘用的非在编的全职教师。</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3.“企业提供的校内实践教学设备值”指企业为学校提供的实践教学设备（设备在学校，产权属企业，学校有使用权）的总资产值。按照企业采购原值计算。</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4.“生均企业实习经费补贴”指用于补贴学生企业实习的经费(补贴给学生个人或企业),按照实习学生人数折算的平均水平。其中，“生均财政专项补贴”是指“生均企业实习经费补贴”中的财政专项经费，如果没有单列财政专项则不填。</w:t>
      </w:r>
    </w:p>
    <w:p>
      <w:pPr>
        <w:spacing w:line="520" w:lineRule="exact"/>
        <w:ind w:firstLine="560" w:firstLineChars="200"/>
        <w:rPr>
          <w:rFonts w:ascii="仿宋_GB2312" w:hAnsi="Cambria" w:eastAsia="仿宋_GB2312"/>
          <w:sz w:val="28"/>
          <w:szCs w:val="28"/>
        </w:rPr>
      </w:pPr>
      <w:r>
        <w:rPr>
          <w:rFonts w:hint="eastAsia" w:ascii="仿宋_GB2312" w:hAnsi="Cambria" w:eastAsia="仿宋_GB2312"/>
          <w:sz w:val="28"/>
          <w:szCs w:val="28"/>
        </w:rPr>
        <w:t>5.“生均企业实习责任保险补贴”指用于补贴学生企业实习责任保险的经费，按照实习学生人数折算的平均水平。其中，“生均财政专项补贴”是指“生均企业实习责任保险补贴”中的财政专项经费，如果没有单列财政专项则不填。</w:t>
      </w:r>
    </w:p>
    <w:p>
      <w:pPr>
        <w:spacing w:line="520" w:lineRule="exact"/>
        <w:ind w:firstLine="560" w:firstLineChars="200"/>
        <w:rPr>
          <w:rFonts w:ascii="仿宋_GB2312" w:hAnsi="Cambria" w:eastAsia="仿宋_GB2312"/>
          <w:sz w:val="30"/>
          <w:szCs w:val="30"/>
        </w:rPr>
      </w:pPr>
      <w:r>
        <w:rPr>
          <w:rFonts w:hint="eastAsia" w:ascii="仿宋_GB2312" w:hAnsi="Cambria" w:eastAsia="仿宋_GB2312"/>
          <w:sz w:val="28"/>
          <w:szCs w:val="28"/>
        </w:rPr>
        <w:t>6.“企业兼职教师年课时总量”指企业兼职教师当年为学生授课课时总量。“年支付企业兼职教师课酬”指每年度用于支付企业兼职教师担任专业理论课、专业实践课教师的课时费总金额。兼课教师费用、企业兼职教师授课以外的费用都不能统计在内。其中，“财政专项补贴”是指“年支付企业兼职教师课酬”中的财政专项经费。</w:t>
      </w:r>
      <w:r>
        <w:rPr>
          <w:rFonts w:hint="eastAsia" w:ascii="仿宋_GB2312" w:hAnsi="Cambria" w:eastAsia="仿宋_GB2312"/>
          <w:sz w:val="30"/>
          <w:szCs w:val="30"/>
        </w:rPr>
        <w:br w:type="page"/>
      </w:r>
    </w:p>
    <w:p>
      <w:pPr>
        <w:spacing w:line="312" w:lineRule="auto"/>
        <w:jc w:val="center"/>
        <w:rPr>
          <w:rFonts w:ascii="黑体" w:hAnsi="黑体" w:eastAsia="黑体"/>
          <w:sz w:val="32"/>
          <w:szCs w:val="32"/>
        </w:rPr>
      </w:pPr>
      <w:r>
        <w:rPr>
          <w:rFonts w:hint="eastAsia" w:ascii="黑体" w:hAnsi="黑体" w:eastAsia="黑体"/>
          <w:sz w:val="32"/>
          <w:szCs w:val="32"/>
        </w:rPr>
        <w:t>表6 落实政策表</w:t>
      </w:r>
    </w:p>
    <w:tbl>
      <w:tblPr>
        <w:tblStyle w:val="3"/>
        <w:tblW w:w="8969" w:type="dxa"/>
        <w:jc w:val="center"/>
        <w:tblInd w:w="0" w:type="dxa"/>
        <w:tblLayout w:type="fixed"/>
        <w:tblCellMar>
          <w:top w:w="0" w:type="dxa"/>
          <w:left w:w="108" w:type="dxa"/>
          <w:bottom w:w="0" w:type="dxa"/>
          <w:right w:w="108" w:type="dxa"/>
        </w:tblCellMar>
      </w:tblPr>
      <w:tblGrid>
        <w:gridCol w:w="851"/>
        <w:gridCol w:w="852"/>
        <w:gridCol w:w="425"/>
        <w:gridCol w:w="3832"/>
        <w:gridCol w:w="996"/>
        <w:gridCol w:w="996"/>
        <w:gridCol w:w="1017"/>
      </w:tblGrid>
      <w:tr>
        <w:tblPrEx>
          <w:tblLayout w:type="fixed"/>
          <w:tblCellMar>
            <w:top w:w="0" w:type="dxa"/>
            <w:left w:w="108" w:type="dxa"/>
            <w:bottom w:w="0" w:type="dxa"/>
            <w:right w:w="108" w:type="dxa"/>
          </w:tblCellMar>
        </w:tblPrEx>
        <w:trPr>
          <w:trHeight w:val="480" w:hRule="atLeast"/>
          <w:jc w:val="center"/>
        </w:trPr>
        <w:tc>
          <w:tcPr>
            <w:tcW w:w="8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76"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院校代码</w:t>
            </w:r>
          </w:p>
        </w:tc>
        <w:tc>
          <w:tcPr>
            <w:tcW w:w="852" w:type="dxa"/>
            <w:tcBorders>
              <w:top w:val="single" w:color="auto" w:sz="4" w:space="0"/>
              <w:left w:val="nil"/>
              <w:bottom w:val="single" w:color="auto" w:sz="4" w:space="0"/>
              <w:right w:val="single" w:color="auto" w:sz="4" w:space="0"/>
            </w:tcBorders>
            <w:shd w:val="clear" w:color="000000" w:fill="FFFFFF"/>
            <w:vAlign w:val="center"/>
          </w:tcPr>
          <w:p>
            <w:pPr>
              <w:spacing w:line="276"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院校名称</w:t>
            </w:r>
          </w:p>
        </w:tc>
        <w:tc>
          <w:tcPr>
            <w:tcW w:w="4257" w:type="dxa"/>
            <w:gridSpan w:val="2"/>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指标</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单位</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2017年</w:t>
            </w: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b/>
                <w:bCs/>
                <w:sz w:val="24"/>
                <w:szCs w:val="24"/>
              </w:rPr>
            </w:pPr>
            <w:r>
              <w:rPr>
                <w:rFonts w:hint="eastAsia" w:ascii="仿宋_GB2312" w:hAnsi="Cambria" w:eastAsia="仿宋_GB2312" w:cs="宋体"/>
                <w:b/>
                <w:bCs/>
                <w:sz w:val="24"/>
                <w:szCs w:val="24"/>
              </w:rPr>
              <w:t>2018年</w:t>
            </w:r>
          </w:p>
        </w:tc>
      </w:tr>
      <w:tr>
        <w:tblPrEx>
          <w:tblLayout w:type="fixed"/>
          <w:tblCellMar>
            <w:top w:w="0" w:type="dxa"/>
            <w:left w:w="108" w:type="dxa"/>
            <w:bottom w:w="0" w:type="dxa"/>
            <w:right w:w="108" w:type="dxa"/>
          </w:tblCellMar>
        </w:tblPrEx>
        <w:trPr>
          <w:trHeight w:val="390" w:hRule="atLeast"/>
          <w:jc w:val="center"/>
        </w:trPr>
        <w:tc>
          <w:tcPr>
            <w:tcW w:w="851" w:type="dxa"/>
            <w:vMerge w:val="restart"/>
            <w:tcBorders>
              <w:top w:val="single" w:color="auto" w:sz="4" w:space="0"/>
              <w:left w:val="single" w:color="auto" w:sz="4" w:space="0"/>
              <w:right w:val="single" w:color="auto" w:sz="4" w:space="0"/>
            </w:tcBorders>
            <w:shd w:val="clear" w:color="000000" w:fill="FFFFFF"/>
            <w:vAlign w:val="bottom"/>
          </w:tcPr>
          <w:p>
            <w:pPr>
              <w:spacing w:line="360" w:lineRule="auto"/>
              <w:rPr>
                <w:rFonts w:ascii="仿宋_GB2312" w:hAnsi="Cambria" w:eastAsia="仿宋_GB2312" w:cs="宋体"/>
                <w:sz w:val="24"/>
                <w:szCs w:val="24"/>
              </w:rPr>
            </w:pPr>
          </w:p>
        </w:tc>
        <w:tc>
          <w:tcPr>
            <w:tcW w:w="852" w:type="dxa"/>
            <w:vMerge w:val="restart"/>
            <w:tcBorders>
              <w:top w:val="single" w:color="auto" w:sz="4" w:space="0"/>
              <w:left w:val="single" w:color="auto" w:sz="4" w:space="0"/>
              <w:right w:val="single" w:color="auto" w:sz="4" w:space="0"/>
            </w:tcBorders>
            <w:shd w:val="clear" w:color="000000" w:fill="FFFFFF"/>
            <w:vAlign w:val="bottom"/>
          </w:tcPr>
          <w:p>
            <w:pPr>
              <w:spacing w:line="360" w:lineRule="auto"/>
              <w:rPr>
                <w:rFonts w:ascii="仿宋_GB2312" w:hAnsi="Cambria" w:eastAsia="仿宋_GB2312" w:cs="宋体"/>
                <w:sz w:val="24"/>
                <w:szCs w:val="24"/>
              </w:rPr>
            </w:pPr>
          </w:p>
        </w:tc>
        <w:tc>
          <w:tcPr>
            <w:tcW w:w="425" w:type="dxa"/>
            <w:vMerge w:val="restart"/>
            <w:tcBorders>
              <w:top w:val="nil"/>
              <w:left w:val="nil"/>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1</w:t>
            </w:r>
          </w:p>
        </w:tc>
        <w:tc>
          <w:tcPr>
            <w:tcW w:w="3832" w:type="dxa"/>
            <w:tcBorders>
              <w:top w:val="nil"/>
              <w:left w:val="nil"/>
              <w:bottom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年生均财政拨款水平</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p>
        </w:tc>
        <w:tc>
          <w:tcPr>
            <w:tcW w:w="3832" w:type="dxa"/>
            <w:tcBorders>
              <w:top w:val="nil"/>
              <w:left w:val="nil"/>
              <w:bottom w:val="single" w:color="auto" w:sz="4" w:space="0"/>
              <w:right w:val="single" w:color="auto" w:sz="4" w:space="0"/>
            </w:tcBorders>
            <w:shd w:val="clear" w:color="auto" w:fill="auto"/>
            <w:vAlign w:val="center"/>
          </w:tcPr>
          <w:p>
            <w:pPr>
              <w:spacing w:line="360" w:lineRule="auto"/>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其中：年生均财政专项经费</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restart"/>
            <w:tcBorders>
              <w:top w:val="nil"/>
              <w:left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2</w:t>
            </w:r>
          </w:p>
        </w:tc>
        <w:tc>
          <w:tcPr>
            <w:tcW w:w="3832"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教职员工额定编制数</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3832"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在岗教职员工总数</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3832" w:type="dxa"/>
            <w:tcBorders>
              <w:top w:val="nil"/>
              <w:left w:val="nil"/>
              <w:bottom w:val="single" w:color="auto" w:sz="4" w:space="0"/>
              <w:right w:val="single" w:color="auto" w:sz="4" w:space="0"/>
            </w:tcBorders>
            <w:shd w:val="clear" w:color="000000" w:fill="FFFFFF"/>
            <w:vAlign w:val="center"/>
          </w:tcPr>
          <w:p>
            <w:pPr>
              <w:spacing w:line="360" w:lineRule="auto"/>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其中：专任教师总数</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人</w:t>
            </w:r>
          </w:p>
        </w:tc>
        <w:tc>
          <w:tcPr>
            <w:tcW w:w="996"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nil"/>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3</w:t>
            </w: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企业提供的校内实践教学设备值</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万元</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restart"/>
            <w:tcBorders>
              <w:top w:val="single" w:color="auto" w:sz="4" w:space="0"/>
              <w:left w:val="nil"/>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4</w:t>
            </w: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生均企业实习经费补贴</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其中：生均财政专项补贴</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restart"/>
            <w:tcBorders>
              <w:top w:val="nil"/>
              <w:left w:val="nil"/>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5</w:t>
            </w:r>
          </w:p>
        </w:tc>
        <w:tc>
          <w:tcPr>
            <w:tcW w:w="383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生均企业实习责任保险补贴</w:t>
            </w:r>
          </w:p>
        </w:tc>
        <w:tc>
          <w:tcPr>
            <w:tcW w:w="9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465"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p>
        </w:tc>
        <w:tc>
          <w:tcPr>
            <w:tcW w:w="3832"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其中：生均财政专项补贴</w:t>
            </w:r>
          </w:p>
        </w:tc>
        <w:tc>
          <w:tcPr>
            <w:tcW w:w="9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restart"/>
            <w:tcBorders>
              <w:top w:val="nil"/>
              <w:left w:val="nil"/>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6</w:t>
            </w: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企业兼职教师年课时总量</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课时</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nil"/>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r>
              <w:rPr>
                <w:rFonts w:hint="eastAsia" w:ascii="仿宋_GB2312" w:hAnsi="Cambria" w:eastAsia="仿宋_GB2312" w:cs="宋体"/>
                <w:sz w:val="24"/>
                <w:szCs w:val="24"/>
              </w:rPr>
              <w:t>年支付企业兼职教师课酬</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r>
        <w:tblPrEx>
          <w:tblLayout w:type="fixed"/>
          <w:tblCellMar>
            <w:top w:w="0" w:type="dxa"/>
            <w:left w:w="108" w:type="dxa"/>
            <w:bottom w:w="0" w:type="dxa"/>
            <w:right w:w="108" w:type="dxa"/>
          </w:tblCellMar>
        </w:tblPrEx>
        <w:trPr>
          <w:trHeight w:val="390" w:hRule="atLeast"/>
          <w:jc w:val="center"/>
        </w:trPr>
        <w:tc>
          <w:tcPr>
            <w:tcW w:w="851"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852" w:type="dxa"/>
            <w:vMerge w:val="continue"/>
            <w:tcBorders>
              <w:left w:val="single" w:color="auto" w:sz="4" w:space="0"/>
              <w:bottom w:val="single" w:color="auto" w:sz="4" w:space="0"/>
              <w:right w:val="single" w:color="auto" w:sz="4" w:space="0"/>
            </w:tcBorders>
            <w:shd w:val="clear" w:color="auto" w:fill="auto"/>
            <w:vAlign w:val="center"/>
          </w:tcPr>
          <w:p>
            <w:pPr>
              <w:spacing w:line="360" w:lineRule="auto"/>
              <w:rPr>
                <w:rFonts w:ascii="仿宋_GB2312" w:hAnsi="Cambria" w:eastAsia="仿宋_GB2312" w:cs="宋体"/>
                <w:sz w:val="24"/>
                <w:szCs w:val="24"/>
              </w:rPr>
            </w:pPr>
          </w:p>
        </w:tc>
        <w:tc>
          <w:tcPr>
            <w:tcW w:w="425" w:type="dxa"/>
            <w:vMerge w:val="continue"/>
            <w:tcBorders>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p>
        </w:tc>
        <w:tc>
          <w:tcPr>
            <w:tcW w:w="3832" w:type="dxa"/>
            <w:tcBorders>
              <w:top w:val="single" w:color="auto" w:sz="4" w:space="0"/>
              <w:left w:val="nil"/>
              <w:bottom w:val="single" w:color="auto" w:sz="4" w:space="0"/>
              <w:right w:val="single" w:color="auto" w:sz="4" w:space="0"/>
            </w:tcBorders>
            <w:shd w:val="clear" w:color="000000" w:fill="FFFFFF"/>
            <w:vAlign w:val="center"/>
          </w:tcPr>
          <w:p>
            <w:pPr>
              <w:spacing w:line="360" w:lineRule="auto"/>
              <w:ind w:firstLine="240" w:firstLineChars="100"/>
              <w:rPr>
                <w:rFonts w:ascii="仿宋_GB2312" w:hAnsi="Cambria" w:eastAsia="仿宋_GB2312" w:cs="宋体"/>
                <w:sz w:val="24"/>
                <w:szCs w:val="24"/>
              </w:rPr>
            </w:pPr>
            <w:r>
              <w:rPr>
                <w:rFonts w:hint="eastAsia" w:ascii="仿宋_GB2312" w:hAnsi="Cambria" w:eastAsia="仿宋_GB2312" w:cs="宋体"/>
                <w:sz w:val="24"/>
                <w:szCs w:val="24"/>
              </w:rPr>
              <w:t>其中：财政专项补贴</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仿宋_GB2312" w:hAnsi="Cambria" w:eastAsia="仿宋_GB2312" w:cs="宋体"/>
                <w:sz w:val="24"/>
                <w:szCs w:val="24"/>
              </w:rPr>
            </w:pPr>
            <w:r>
              <w:rPr>
                <w:rFonts w:hint="eastAsia" w:ascii="仿宋_GB2312" w:hAnsi="Cambria" w:eastAsia="仿宋_GB2312" w:cs="宋体"/>
                <w:sz w:val="24"/>
                <w:szCs w:val="24"/>
              </w:rPr>
              <w:t>元</w:t>
            </w:r>
          </w:p>
        </w:tc>
        <w:tc>
          <w:tcPr>
            <w:tcW w:w="996"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c>
          <w:tcPr>
            <w:tcW w:w="1017" w:type="dxa"/>
            <w:tcBorders>
              <w:top w:val="single" w:color="auto" w:sz="4" w:space="0"/>
              <w:left w:val="nil"/>
              <w:bottom w:val="single" w:color="auto" w:sz="4" w:space="0"/>
              <w:right w:val="single" w:color="auto" w:sz="4" w:space="0"/>
            </w:tcBorders>
            <w:shd w:val="clear" w:color="000000" w:fill="FFFFFF"/>
            <w:vAlign w:val="center"/>
          </w:tcPr>
          <w:p>
            <w:pPr>
              <w:spacing w:line="360" w:lineRule="auto"/>
              <w:rPr>
                <w:rFonts w:ascii="仿宋_GB2312" w:hAnsi="Cambria" w:eastAsia="仿宋_GB2312" w:cs="宋体"/>
                <w:sz w:val="24"/>
                <w:szCs w:val="24"/>
              </w:rPr>
            </w:pPr>
          </w:p>
        </w:tc>
      </w:tr>
    </w:tbl>
    <w:p>
      <w:pPr>
        <w:spacing w:after="0" w:line="600" w:lineRule="exact"/>
        <w:jc w:val="center"/>
        <w:rPr>
          <w:rFonts w:hint="eastAsia" w:ascii="Times New Roman" w:hAnsi="Times New Roman" w:eastAsia="方正仿宋_GBK"/>
          <w:b/>
          <w:bCs/>
          <w:sz w:val="28"/>
          <w:szCs w:val="32"/>
        </w:rPr>
      </w:pPr>
    </w:p>
    <w:p>
      <w:pPr>
        <w:spacing w:after="0" w:line="600" w:lineRule="exact"/>
        <w:jc w:val="center"/>
        <w:rPr>
          <w:rFonts w:hint="eastAsia" w:ascii="Times New Roman" w:hAnsi="Times New Roman" w:eastAsia="方正仿宋_GBK"/>
          <w:b/>
          <w:bCs/>
          <w:sz w:val="28"/>
          <w:szCs w:val="32"/>
        </w:rPr>
      </w:pPr>
    </w:p>
    <w:p>
      <w:pPr>
        <w:spacing w:after="0" w:line="600" w:lineRule="exact"/>
        <w:jc w:val="center"/>
        <w:rPr>
          <w:rFonts w:hint="eastAsia" w:ascii="Times New Roman" w:hAnsi="Times New Roman" w:eastAsia="方正仿宋_GBK"/>
          <w:b/>
          <w:bCs/>
          <w:sz w:val="28"/>
          <w:szCs w:val="32"/>
        </w:rPr>
      </w:pPr>
    </w:p>
    <w:p>
      <w:pPr>
        <w:spacing w:after="0" w:line="600" w:lineRule="exact"/>
        <w:jc w:val="center"/>
        <w:rPr>
          <w:rFonts w:hint="eastAsia" w:ascii="Times New Roman" w:hAnsi="Times New Roman" w:eastAsia="方正仿宋_GBK"/>
          <w:b/>
          <w:bCs/>
          <w:sz w:val="28"/>
          <w:szCs w:val="32"/>
        </w:rPr>
      </w:pPr>
    </w:p>
    <w:p>
      <w:pPr>
        <w:spacing w:line="520" w:lineRule="exact"/>
        <w:rPr>
          <w:rFonts w:hint="eastAsia" w:ascii="仿宋_GB2312" w:hAnsi="Cambria" w:eastAsia="仿宋_GB2312"/>
          <w:sz w:val="32"/>
          <w:szCs w:val="32"/>
        </w:rPr>
      </w:pPr>
    </w:p>
    <w:p>
      <w:pPr>
        <w:spacing w:line="520" w:lineRule="exact"/>
        <w:rPr>
          <w:rFonts w:ascii="仿宋_GB2312" w:hAnsi="Cambria" w:eastAsia="仿宋_GB2312"/>
          <w:sz w:val="32"/>
          <w:szCs w:val="32"/>
        </w:rPr>
      </w:pPr>
      <w:r>
        <w:rPr>
          <w:rFonts w:hint="eastAsia" w:ascii="仿宋_GB2312" w:hAnsi="Cambria" w:eastAsia="仿宋_GB2312"/>
          <w:sz w:val="32"/>
          <w:szCs w:val="32"/>
        </w:rPr>
        <w:t>附件8</w:t>
      </w:r>
    </w:p>
    <w:p>
      <w:pPr>
        <w:spacing w:after="156" w:line="560" w:lineRule="exact"/>
        <w:ind w:firstLine="720" w:firstLineChars="200"/>
        <w:rPr>
          <w:rFonts w:ascii="Cambria" w:hAnsi="Cambria" w:eastAsia="方正小标宋简体" w:cs="宋体"/>
          <w:sz w:val="36"/>
          <w:szCs w:val="36"/>
        </w:rPr>
      </w:pPr>
    </w:p>
    <w:p>
      <w:pPr>
        <w:spacing w:before="360" w:beforeLines="100" w:after="360" w:afterLines="100"/>
        <w:jc w:val="center"/>
        <w:outlineLvl w:val="0"/>
        <w:rPr>
          <w:rFonts w:ascii="黑体" w:hAnsi="黑体" w:eastAsia="黑体" w:cs="宋体"/>
          <w:sz w:val="36"/>
          <w:szCs w:val="36"/>
        </w:rPr>
      </w:pPr>
      <w:r>
        <w:rPr>
          <w:rFonts w:hint="eastAsia" w:ascii="黑体" w:hAnsi="黑体" w:eastAsia="黑体" w:cs="微软雅黑"/>
          <w:sz w:val="36"/>
          <w:szCs w:val="36"/>
        </w:rPr>
        <w:t>内容真实性责任声明</w:t>
      </w:r>
      <w:r>
        <w:rPr>
          <w:rFonts w:hint="eastAsia" w:ascii="黑体" w:hAnsi="黑体" w:eastAsia="黑体" w:cs="Malgun Gothic Semilight"/>
          <w:sz w:val="36"/>
          <w:szCs w:val="36"/>
        </w:rPr>
        <w:t>（</w:t>
      </w:r>
      <w:r>
        <w:rPr>
          <w:rFonts w:hint="eastAsia" w:ascii="黑体" w:hAnsi="黑体" w:eastAsia="黑体" w:cs="微软雅黑"/>
          <w:sz w:val="36"/>
          <w:szCs w:val="36"/>
        </w:rPr>
        <w:t>格式</w:t>
      </w:r>
      <w:r>
        <w:rPr>
          <w:rFonts w:hint="eastAsia" w:ascii="黑体" w:hAnsi="黑体" w:eastAsia="黑体" w:cs="Malgun Gothic Semilight"/>
          <w:sz w:val="36"/>
          <w:szCs w:val="36"/>
        </w:rPr>
        <w:t>）</w:t>
      </w:r>
    </w:p>
    <w:p>
      <w:pPr>
        <w:spacing w:line="560" w:lineRule="exact"/>
        <w:ind w:firstLine="640" w:firstLineChars="200"/>
        <w:rPr>
          <w:rFonts w:ascii="仿宋_GB2312" w:hAnsi="Cambria" w:eastAsia="仿宋_GB2312"/>
          <w:sz w:val="32"/>
          <w:szCs w:val="32"/>
        </w:rPr>
      </w:pPr>
      <w:r>
        <w:rPr>
          <w:rFonts w:hint="eastAsia" w:ascii="仿宋_GB2312" w:hAnsi="Cambria" w:eastAsia="仿宋_GB2312"/>
          <w:sz w:val="32"/>
          <w:szCs w:val="32"/>
        </w:rPr>
        <w:t>学校对</w:t>
      </w:r>
      <w:r>
        <w:rPr>
          <w:rFonts w:hint="eastAsia" w:ascii="仿宋_GB2312" w:hAnsi="Cambria" w:eastAsia="仿宋_GB2312"/>
          <w:sz w:val="32"/>
          <w:szCs w:val="32"/>
          <w:u w:val="single"/>
        </w:rPr>
        <w:t xml:space="preserve"> （院校名称）</w:t>
      </w:r>
      <w:r>
        <w:rPr>
          <w:rFonts w:hint="eastAsia" w:ascii="仿宋_GB2312" w:hAnsi="Cambria" w:eastAsia="仿宋_GB2312"/>
          <w:sz w:val="32"/>
          <w:szCs w:val="32"/>
        </w:rPr>
        <w:t>质量年度报告（2019）及相关附件的真实性、完整性和准确性负责。</w:t>
      </w:r>
    </w:p>
    <w:p>
      <w:pPr>
        <w:spacing w:line="560" w:lineRule="exact"/>
        <w:ind w:firstLine="640" w:firstLineChars="200"/>
        <w:rPr>
          <w:rFonts w:ascii="仿宋_GB2312" w:hAnsi="Cambria" w:eastAsia="仿宋_GB2312"/>
          <w:sz w:val="32"/>
          <w:szCs w:val="32"/>
        </w:rPr>
      </w:pPr>
    </w:p>
    <w:p>
      <w:pPr>
        <w:spacing w:line="560" w:lineRule="exact"/>
        <w:ind w:firstLine="640" w:firstLineChars="200"/>
        <w:rPr>
          <w:rFonts w:ascii="仿宋_GB2312" w:hAnsi="Cambria" w:eastAsia="仿宋_GB2312"/>
          <w:sz w:val="32"/>
          <w:szCs w:val="32"/>
        </w:rPr>
      </w:pPr>
      <w:r>
        <w:rPr>
          <w:rFonts w:hint="eastAsia" w:ascii="仿宋_GB2312" w:hAnsi="Cambria" w:eastAsia="仿宋_GB2312"/>
          <w:sz w:val="32"/>
          <w:szCs w:val="32"/>
        </w:rPr>
        <w:t>特此声明</w:t>
      </w:r>
    </w:p>
    <w:p>
      <w:pPr>
        <w:spacing w:line="560" w:lineRule="exact"/>
        <w:ind w:firstLine="600" w:firstLineChars="200"/>
        <w:rPr>
          <w:rFonts w:ascii="Cambria" w:hAnsi="Cambria" w:eastAsia="仿宋_GB2312"/>
          <w:sz w:val="30"/>
          <w:szCs w:val="30"/>
        </w:rPr>
      </w:pPr>
    </w:p>
    <w:p>
      <w:pPr>
        <w:spacing w:line="560" w:lineRule="exact"/>
        <w:ind w:firstLine="600" w:firstLineChars="200"/>
        <w:rPr>
          <w:rFonts w:ascii="Cambria" w:hAnsi="Cambria" w:eastAsia="仿宋_GB2312"/>
          <w:sz w:val="30"/>
          <w:szCs w:val="30"/>
        </w:rPr>
      </w:pPr>
    </w:p>
    <w:p>
      <w:pPr>
        <w:spacing w:line="560" w:lineRule="exact"/>
        <w:ind w:firstLine="600" w:firstLineChars="200"/>
        <w:rPr>
          <w:rFonts w:ascii="Cambria" w:hAnsi="Cambria" w:eastAsia="仿宋_GB2312"/>
          <w:sz w:val="30"/>
          <w:szCs w:val="30"/>
        </w:rPr>
      </w:pPr>
    </w:p>
    <w:p>
      <w:pPr>
        <w:spacing w:line="560" w:lineRule="exact"/>
        <w:ind w:firstLine="600" w:firstLineChars="200"/>
        <w:rPr>
          <w:rFonts w:ascii="Cambria" w:hAnsi="Cambria" w:eastAsia="仿宋_GB2312"/>
          <w:sz w:val="30"/>
          <w:szCs w:val="30"/>
        </w:rPr>
      </w:pPr>
    </w:p>
    <w:p>
      <w:pPr>
        <w:spacing w:line="560" w:lineRule="exact"/>
        <w:ind w:firstLine="600" w:firstLineChars="200"/>
        <w:rPr>
          <w:rFonts w:ascii="Cambria" w:hAnsi="Cambria" w:eastAsia="仿宋_GB2312"/>
          <w:sz w:val="30"/>
          <w:szCs w:val="30"/>
        </w:rPr>
      </w:pPr>
    </w:p>
    <w:p>
      <w:r>
        <w:rPr>
          <w:rFonts w:ascii="Cambria" w:hAnsi="Cambria" w:eastAsia="仿宋_GB2312"/>
          <w:sz w:val="32"/>
          <w:szCs w:val="32"/>
        </w:rPr>
        <w:t>单位</w:t>
      </w:r>
      <w:r>
        <w:rPr>
          <w:rFonts w:hint="eastAsia" w:ascii="Cambria" w:hAnsi="Cambria" w:eastAsia="仿宋_GB2312"/>
          <w:sz w:val="32"/>
          <w:szCs w:val="32"/>
        </w:rPr>
        <w:t>名称</w:t>
      </w:r>
      <w:r>
        <w:rPr>
          <w:rFonts w:ascii="Cambria" w:hAnsi="Cambria" w:eastAsia="仿宋_GB2312"/>
          <w:sz w:val="32"/>
          <w:szCs w:val="32"/>
        </w:rPr>
        <w:t>（盖章）：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Malgun Gothic Semilight">
    <w:altName w:val="宋体"/>
    <w:panose1 w:val="00000000000000000000"/>
    <w:charset w:val="86"/>
    <w:family w:val="swiss"/>
    <w:pitch w:val="default"/>
    <w:sig w:usb0="00000000" w:usb1="00000000" w:usb2="00000012" w:usb3="00000000" w:csb0="003E01BD"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66C8F"/>
    <w:rsid w:val="60066C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2018-11-16T06:40:00Z</dcterms:created>
  <dc:creator>Administrator</dc:creator>
  <cp:lastModifiedBy>Administrator</cp:lastModifiedBy>
  <dcterms:modified xsi:type="dcterms:W3CDTF">2018-11-16T06:41:19Z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