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楷体" w:hAnsi="楷体" w:eastAsia="楷体"/>
          <w:b/>
          <w:sz w:val="32"/>
          <w:szCs w:val="32"/>
        </w:rPr>
      </w:pPr>
      <w:r>
        <w:rPr>
          <w:rFonts w:hint="eastAsia" w:ascii="方正黑体_GBK" w:eastAsia="方正黑体_GBK"/>
          <w:b/>
          <w:sz w:val="44"/>
          <w:szCs w:val="44"/>
        </w:rPr>
        <w:t>落实《国家职业教育改革实施方案》任务分解表</w:t>
      </w:r>
    </w:p>
    <w:p>
      <w:pPr>
        <w:widowControl/>
        <w:jc w:val="left"/>
        <w:rPr>
          <w:rFonts w:ascii="方正小标宋_GBK" w:eastAsia="方正小标宋_GBK"/>
          <w:b/>
          <w:sz w:val="32"/>
          <w:szCs w:val="32"/>
        </w:rPr>
      </w:pPr>
      <w:r>
        <w:rPr>
          <w:rFonts w:hint="eastAsia" w:ascii="方正黑体_GBK" w:eastAsia="方正黑体_GBK"/>
          <w:b/>
          <w:sz w:val="32"/>
          <w:szCs w:val="32"/>
        </w:rPr>
        <w:t>一、项目类</w:t>
      </w:r>
    </w:p>
    <w:tbl>
      <w:tblPr>
        <w:tblStyle w:val="5"/>
        <w:tblW w:w="13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1741"/>
        <w:gridCol w:w="1600"/>
        <w:gridCol w:w="289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61" w:type="dxa"/>
          </w:tcPr>
          <w:p>
            <w:pPr>
              <w:jc w:val="center"/>
              <w:rPr>
                <w:b/>
                <w:sz w:val="24"/>
                <w:szCs w:val="24"/>
              </w:rPr>
            </w:pPr>
            <w:r>
              <w:rPr>
                <w:rFonts w:hint="eastAsia"/>
                <w:b/>
                <w:sz w:val="24"/>
                <w:szCs w:val="24"/>
              </w:rPr>
              <w:t>项目任务</w:t>
            </w:r>
          </w:p>
        </w:tc>
        <w:tc>
          <w:tcPr>
            <w:tcW w:w="1741" w:type="dxa"/>
          </w:tcPr>
          <w:p>
            <w:pPr>
              <w:jc w:val="center"/>
              <w:rPr>
                <w:b/>
                <w:sz w:val="24"/>
                <w:szCs w:val="24"/>
              </w:rPr>
            </w:pPr>
            <w:r>
              <w:rPr>
                <w:rFonts w:hint="eastAsia"/>
                <w:b/>
                <w:sz w:val="24"/>
                <w:szCs w:val="24"/>
              </w:rPr>
              <w:t>改革目标</w:t>
            </w:r>
          </w:p>
        </w:tc>
        <w:tc>
          <w:tcPr>
            <w:tcW w:w="1600" w:type="dxa"/>
          </w:tcPr>
          <w:p>
            <w:pPr>
              <w:jc w:val="center"/>
              <w:rPr>
                <w:b/>
                <w:sz w:val="24"/>
                <w:szCs w:val="24"/>
              </w:rPr>
            </w:pPr>
            <w:r>
              <w:rPr>
                <w:rFonts w:hint="eastAsia"/>
                <w:b/>
                <w:sz w:val="24"/>
                <w:szCs w:val="24"/>
              </w:rPr>
              <w:t>具体举措</w:t>
            </w:r>
          </w:p>
        </w:tc>
        <w:tc>
          <w:tcPr>
            <w:tcW w:w="2896" w:type="dxa"/>
          </w:tcPr>
          <w:p>
            <w:pPr>
              <w:jc w:val="center"/>
              <w:rPr>
                <w:b/>
                <w:sz w:val="24"/>
                <w:szCs w:val="24"/>
              </w:rPr>
            </w:pPr>
            <w:r>
              <w:rPr>
                <w:rFonts w:hint="eastAsia"/>
                <w:b/>
                <w:sz w:val="24"/>
                <w:szCs w:val="24"/>
              </w:rPr>
              <w:t>牵头部门</w:t>
            </w:r>
          </w:p>
        </w:tc>
        <w:tc>
          <w:tcPr>
            <w:tcW w:w="2693" w:type="dxa"/>
          </w:tcPr>
          <w:p>
            <w:pPr>
              <w:jc w:val="center"/>
              <w:rPr>
                <w:b/>
                <w:sz w:val="24"/>
                <w:szCs w:val="24"/>
              </w:rPr>
            </w:pPr>
            <w:r>
              <w:rPr>
                <w:rFonts w:hint="eastAsia"/>
                <w:b/>
                <w:sz w:val="24"/>
                <w:szCs w:val="24"/>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4361" w:type="dxa"/>
            <w:vAlign w:val="center"/>
          </w:tcPr>
          <w:p>
            <w:pPr>
              <w:rPr>
                <w:sz w:val="24"/>
                <w:szCs w:val="24"/>
              </w:rPr>
            </w:pPr>
            <w:r>
              <w:rPr>
                <w:rFonts w:hint="eastAsia"/>
                <w:sz w:val="24"/>
                <w:szCs w:val="24"/>
              </w:rPr>
              <w:t>1.建设中国特色高水平高等职业学校</w:t>
            </w:r>
          </w:p>
        </w:tc>
        <w:tc>
          <w:tcPr>
            <w:tcW w:w="1741" w:type="dxa"/>
            <w:vAlign w:val="center"/>
          </w:tcPr>
          <w:p>
            <w:pPr>
              <w:rPr>
                <w:sz w:val="24"/>
                <w:szCs w:val="24"/>
              </w:rPr>
            </w:pPr>
          </w:p>
        </w:tc>
        <w:tc>
          <w:tcPr>
            <w:tcW w:w="1600" w:type="dxa"/>
            <w:vAlign w:val="center"/>
          </w:tcPr>
          <w:p>
            <w:pPr>
              <w:rPr>
                <w:sz w:val="24"/>
                <w:szCs w:val="24"/>
              </w:rPr>
            </w:pPr>
          </w:p>
        </w:tc>
        <w:tc>
          <w:tcPr>
            <w:tcW w:w="2896" w:type="dxa"/>
            <w:vAlign w:val="center"/>
          </w:tcPr>
          <w:p>
            <w:pPr>
              <w:rPr>
                <w:sz w:val="24"/>
                <w:szCs w:val="24"/>
              </w:rPr>
            </w:pPr>
            <w:r>
              <w:rPr>
                <w:rFonts w:hint="eastAsia"/>
                <w:sz w:val="24"/>
                <w:szCs w:val="24"/>
              </w:rPr>
              <w:t>发展规划与质量保障处</w:t>
            </w:r>
          </w:p>
        </w:tc>
        <w:tc>
          <w:tcPr>
            <w:tcW w:w="2693" w:type="dxa"/>
            <w:vAlign w:val="center"/>
          </w:tcPr>
          <w:p>
            <w:pPr>
              <w:rPr>
                <w:sz w:val="24"/>
                <w:szCs w:val="24"/>
              </w:rPr>
            </w:pPr>
            <w:r>
              <w:rPr>
                <w:sz w:val="24"/>
                <w:szCs w:val="24"/>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361" w:type="dxa"/>
            <w:vAlign w:val="center"/>
          </w:tcPr>
          <w:p>
            <w:pPr>
              <w:rPr>
                <w:sz w:val="24"/>
                <w:szCs w:val="24"/>
              </w:rPr>
            </w:pPr>
            <w:r>
              <w:rPr>
                <w:rFonts w:hint="eastAsia"/>
                <w:sz w:val="24"/>
                <w:szCs w:val="24"/>
              </w:rPr>
              <w:t>2.建设2个国家级骨干专业（群）</w:t>
            </w:r>
          </w:p>
        </w:tc>
        <w:tc>
          <w:tcPr>
            <w:tcW w:w="1741" w:type="dxa"/>
            <w:vAlign w:val="center"/>
          </w:tcPr>
          <w:p>
            <w:pPr>
              <w:rPr>
                <w:sz w:val="24"/>
                <w:szCs w:val="24"/>
              </w:rPr>
            </w:pPr>
          </w:p>
        </w:tc>
        <w:tc>
          <w:tcPr>
            <w:tcW w:w="1600" w:type="dxa"/>
            <w:vAlign w:val="center"/>
          </w:tcPr>
          <w:p>
            <w:pPr>
              <w:rPr>
                <w:sz w:val="24"/>
                <w:szCs w:val="24"/>
              </w:rPr>
            </w:pPr>
          </w:p>
        </w:tc>
        <w:tc>
          <w:tcPr>
            <w:tcW w:w="2896" w:type="dxa"/>
            <w:vAlign w:val="center"/>
          </w:tcPr>
          <w:p>
            <w:pPr>
              <w:rPr>
                <w:sz w:val="24"/>
                <w:szCs w:val="24"/>
              </w:rPr>
            </w:pPr>
            <w:r>
              <w:rPr>
                <w:rFonts w:hint="eastAsia"/>
                <w:sz w:val="24"/>
                <w:szCs w:val="24"/>
              </w:rPr>
              <w:t>教务处</w:t>
            </w:r>
          </w:p>
        </w:tc>
        <w:tc>
          <w:tcPr>
            <w:tcW w:w="2693" w:type="dxa"/>
            <w:vAlign w:val="center"/>
          </w:tcPr>
          <w:p>
            <w:pPr>
              <w:rPr>
                <w:sz w:val="24"/>
                <w:szCs w:val="24"/>
              </w:rPr>
            </w:pPr>
            <w:r>
              <w:rPr>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4361" w:type="dxa"/>
            <w:vAlign w:val="center"/>
          </w:tcPr>
          <w:p>
            <w:pPr>
              <w:rPr>
                <w:sz w:val="24"/>
                <w:szCs w:val="24"/>
              </w:rPr>
            </w:pPr>
            <w:r>
              <w:rPr>
                <w:rFonts w:hint="eastAsia"/>
                <w:sz w:val="24"/>
                <w:szCs w:val="24"/>
              </w:rPr>
              <w:t>3. 开展本科层次职业教育试点</w:t>
            </w:r>
          </w:p>
        </w:tc>
        <w:tc>
          <w:tcPr>
            <w:tcW w:w="1741" w:type="dxa"/>
            <w:vAlign w:val="center"/>
          </w:tcPr>
          <w:p>
            <w:pPr>
              <w:rPr>
                <w:sz w:val="24"/>
                <w:szCs w:val="24"/>
              </w:rPr>
            </w:pPr>
          </w:p>
        </w:tc>
        <w:tc>
          <w:tcPr>
            <w:tcW w:w="1600" w:type="dxa"/>
            <w:vAlign w:val="center"/>
          </w:tcPr>
          <w:p>
            <w:pPr>
              <w:rPr>
                <w:sz w:val="24"/>
                <w:szCs w:val="24"/>
              </w:rPr>
            </w:pPr>
          </w:p>
        </w:tc>
        <w:tc>
          <w:tcPr>
            <w:tcW w:w="2896" w:type="dxa"/>
            <w:vAlign w:val="center"/>
          </w:tcPr>
          <w:p>
            <w:pPr>
              <w:rPr>
                <w:sz w:val="24"/>
                <w:szCs w:val="24"/>
              </w:rPr>
            </w:pPr>
            <w:r>
              <w:rPr>
                <w:rFonts w:hint="eastAsia"/>
                <w:sz w:val="24"/>
                <w:szCs w:val="24"/>
              </w:rPr>
              <w:t>发展规划与质量保障处</w:t>
            </w:r>
          </w:p>
        </w:tc>
        <w:tc>
          <w:tcPr>
            <w:tcW w:w="2693" w:type="dxa"/>
            <w:vAlign w:val="center"/>
          </w:tcPr>
          <w:p>
            <w:pPr>
              <w:rPr>
                <w:sz w:val="24"/>
                <w:szCs w:val="24"/>
              </w:rPr>
            </w:pPr>
            <w:r>
              <w:rPr>
                <w:sz w:val="24"/>
                <w:szCs w:val="24"/>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61" w:type="dxa"/>
            <w:vAlign w:val="center"/>
          </w:tcPr>
          <w:p>
            <w:pPr>
              <w:rPr>
                <w:sz w:val="24"/>
                <w:szCs w:val="24"/>
              </w:rPr>
            </w:pPr>
            <w:r>
              <w:rPr>
                <w:rFonts w:hint="eastAsia"/>
                <w:sz w:val="24"/>
                <w:szCs w:val="24"/>
              </w:rPr>
              <w:t>4. 启动1+X证书制度试点10个</w:t>
            </w:r>
          </w:p>
        </w:tc>
        <w:tc>
          <w:tcPr>
            <w:tcW w:w="1741" w:type="dxa"/>
            <w:vAlign w:val="center"/>
          </w:tcPr>
          <w:p>
            <w:pPr>
              <w:rPr>
                <w:sz w:val="24"/>
                <w:szCs w:val="24"/>
              </w:rPr>
            </w:pPr>
          </w:p>
        </w:tc>
        <w:tc>
          <w:tcPr>
            <w:tcW w:w="1600" w:type="dxa"/>
            <w:vAlign w:val="center"/>
          </w:tcPr>
          <w:p>
            <w:pPr>
              <w:rPr>
                <w:sz w:val="24"/>
                <w:szCs w:val="24"/>
              </w:rPr>
            </w:pPr>
          </w:p>
        </w:tc>
        <w:tc>
          <w:tcPr>
            <w:tcW w:w="2896" w:type="dxa"/>
            <w:vAlign w:val="center"/>
          </w:tcPr>
          <w:p>
            <w:pPr>
              <w:rPr>
                <w:sz w:val="24"/>
                <w:szCs w:val="24"/>
              </w:rPr>
            </w:pPr>
            <w:r>
              <w:rPr>
                <w:rFonts w:hint="eastAsia"/>
                <w:sz w:val="24"/>
                <w:szCs w:val="24"/>
              </w:rPr>
              <w:t>教务处</w:t>
            </w:r>
          </w:p>
        </w:tc>
        <w:tc>
          <w:tcPr>
            <w:tcW w:w="2693" w:type="dxa"/>
            <w:vAlign w:val="center"/>
          </w:tcPr>
          <w:p>
            <w:pPr>
              <w:rPr>
                <w:sz w:val="24"/>
                <w:szCs w:val="24"/>
              </w:rPr>
            </w:pPr>
            <w:r>
              <w:rPr>
                <w:rFonts w:hint="eastAsia"/>
                <w:sz w:val="24"/>
                <w:szCs w:val="24"/>
              </w:rPr>
              <w:t>继续教育与培训学院、各二级学院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61" w:type="dxa"/>
            <w:vAlign w:val="center"/>
          </w:tcPr>
          <w:p>
            <w:pPr>
              <w:rPr>
                <w:sz w:val="24"/>
                <w:szCs w:val="24"/>
              </w:rPr>
            </w:pPr>
            <w:r>
              <w:rPr>
                <w:rFonts w:hint="eastAsia"/>
                <w:sz w:val="24"/>
                <w:szCs w:val="24"/>
              </w:rPr>
              <w:t>5.</w:t>
            </w:r>
            <w:r>
              <w:rPr>
                <w:rFonts w:hint="eastAsia"/>
              </w:rPr>
              <w:t xml:space="preserve"> </w:t>
            </w:r>
            <w:r>
              <w:rPr>
                <w:rFonts w:hint="eastAsia"/>
                <w:sz w:val="24"/>
                <w:szCs w:val="24"/>
              </w:rPr>
              <w:t>探索实施学分银行试点，实现学习成果的认和转</w:t>
            </w:r>
          </w:p>
        </w:tc>
        <w:tc>
          <w:tcPr>
            <w:tcW w:w="1741" w:type="dxa"/>
            <w:vAlign w:val="center"/>
          </w:tcPr>
          <w:p>
            <w:pPr>
              <w:rPr>
                <w:sz w:val="24"/>
                <w:szCs w:val="24"/>
              </w:rPr>
            </w:pPr>
          </w:p>
        </w:tc>
        <w:tc>
          <w:tcPr>
            <w:tcW w:w="1600" w:type="dxa"/>
            <w:vAlign w:val="center"/>
          </w:tcPr>
          <w:p>
            <w:pPr>
              <w:rPr>
                <w:sz w:val="24"/>
                <w:szCs w:val="24"/>
              </w:rPr>
            </w:pPr>
          </w:p>
        </w:tc>
        <w:tc>
          <w:tcPr>
            <w:tcW w:w="2896" w:type="dxa"/>
            <w:vAlign w:val="center"/>
          </w:tcPr>
          <w:p>
            <w:pPr>
              <w:rPr>
                <w:sz w:val="24"/>
                <w:szCs w:val="24"/>
              </w:rPr>
            </w:pPr>
            <w:r>
              <w:rPr>
                <w:rFonts w:hint="eastAsia"/>
                <w:sz w:val="24"/>
                <w:szCs w:val="24"/>
              </w:rPr>
              <w:t>教务处</w:t>
            </w:r>
          </w:p>
        </w:tc>
        <w:tc>
          <w:tcPr>
            <w:tcW w:w="2693" w:type="dxa"/>
            <w:vAlign w:val="center"/>
          </w:tcPr>
          <w:p>
            <w:pPr>
              <w:rPr>
                <w:sz w:val="24"/>
                <w:szCs w:val="24"/>
              </w:rPr>
            </w:pPr>
            <w:r>
              <w:rPr>
                <w:rFonts w:hint="eastAsia"/>
                <w:sz w:val="24"/>
                <w:szCs w:val="24"/>
              </w:rPr>
              <w:t>继续教育与培训学院</w:t>
            </w:r>
          </w:p>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4361" w:type="dxa"/>
            <w:vAlign w:val="center"/>
          </w:tcPr>
          <w:p>
            <w:pPr>
              <w:rPr>
                <w:sz w:val="24"/>
                <w:szCs w:val="24"/>
              </w:rPr>
            </w:pPr>
            <w:r>
              <w:rPr>
                <w:rFonts w:hint="eastAsia"/>
                <w:sz w:val="24"/>
                <w:szCs w:val="24"/>
              </w:rPr>
              <w:t>6.</w:t>
            </w:r>
            <w:r>
              <w:rPr>
                <w:rFonts w:hint="eastAsia"/>
              </w:rPr>
              <w:t xml:space="preserve"> </w:t>
            </w:r>
            <w:r>
              <w:rPr>
                <w:rFonts w:hint="eastAsia"/>
                <w:sz w:val="24"/>
                <w:szCs w:val="24"/>
              </w:rPr>
              <w:t>认定职业教育精品课程18门和国家规划教材44种</w:t>
            </w:r>
          </w:p>
        </w:tc>
        <w:tc>
          <w:tcPr>
            <w:tcW w:w="1741" w:type="dxa"/>
            <w:vAlign w:val="center"/>
          </w:tcPr>
          <w:p>
            <w:pPr>
              <w:rPr>
                <w:sz w:val="24"/>
                <w:szCs w:val="24"/>
              </w:rPr>
            </w:pPr>
          </w:p>
        </w:tc>
        <w:tc>
          <w:tcPr>
            <w:tcW w:w="1600" w:type="dxa"/>
            <w:vAlign w:val="center"/>
          </w:tcPr>
          <w:p>
            <w:pPr>
              <w:rPr>
                <w:sz w:val="24"/>
                <w:szCs w:val="24"/>
              </w:rPr>
            </w:pPr>
          </w:p>
        </w:tc>
        <w:tc>
          <w:tcPr>
            <w:tcW w:w="2896" w:type="dxa"/>
            <w:vAlign w:val="center"/>
          </w:tcPr>
          <w:p>
            <w:pPr>
              <w:rPr>
                <w:sz w:val="24"/>
                <w:szCs w:val="24"/>
              </w:rPr>
            </w:pPr>
            <w:r>
              <w:rPr>
                <w:rFonts w:hint="eastAsia"/>
                <w:sz w:val="24"/>
                <w:szCs w:val="24"/>
              </w:rPr>
              <w:t>教务处</w:t>
            </w:r>
          </w:p>
        </w:tc>
        <w:tc>
          <w:tcPr>
            <w:tcW w:w="2693" w:type="dxa"/>
            <w:vAlign w:val="center"/>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61" w:type="dxa"/>
            <w:vAlign w:val="center"/>
          </w:tcPr>
          <w:p>
            <w:pPr>
              <w:rPr>
                <w:sz w:val="24"/>
                <w:szCs w:val="24"/>
              </w:rPr>
            </w:pPr>
            <w:r>
              <w:rPr>
                <w:rFonts w:hint="eastAsia"/>
                <w:sz w:val="24"/>
                <w:szCs w:val="24"/>
              </w:rPr>
              <w:t>7.</w:t>
            </w:r>
            <w:r>
              <w:rPr>
                <w:rFonts w:hint="eastAsia"/>
              </w:rPr>
              <w:t xml:space="preserve"> </w:t>
            </w:r>
            <w:r>
              <w:rPr>
                <w:rFonts w:hint="eastAsia"/>
                <w:sz w:val="24"/>
                <w:szCs w:val="24"/>
              </w:rPr>
              <w:t>建设2个具有辐射引领作用的高水平专业化产教融合实训基地</w:t>
            </w:r>
          </w:p>
        </w:tc>
        <w:tc>
          <w:tcPr>
            <w:tcW w:w="1741" w:type="dxa"/>
            <w:vAlign w:val="center"/>
          </w:tcPr>
          <w:p>
            <w:pPr>
              <w:rPr>
                <w:sz w:val="24"/>
                <w:szCs w:val="24"/>
              </w:rPr>
            </w:pPr>
          </w:p>
        </w:tc>
        <w:tc>
          <w:tcPr>
            <w:tcW w:w="1600" w:type="dxa"/>
            <w:vAlign w:val="center"/>
          </w:tcPr>
          <w:p>
            <w:pPr>
              <w:rPr>
                <w:sz w:val="24"/>
                <w:szCs w:val="24"/>
              </w:rPr>
            </w:pPr>
          </w:p>
        </w:tc>
        <w:tc>
          <w:tcPr>
            <w:tcW w:w="2896" w:type="dxa"/>
            <w:vAlign w:val="center"/>
          </w:tcPr>
          <w:p>
            <w:pPr>
              <w:rPr>
                <w:sz w:val="24"/>
                <w:szCs w:val="24"/>
              </w:rPr>
            </w:pPr>
            <w:r>
              <w:rPr>
                <w:rFonts w:hint="eastAsia"/>
                <w:sz w:val="24"/>
                <w:szCs w:val="24"/>
              </w:rPr>
              <w:t>教务处</w:t>
            </w:r>
          </w:p>
        </w:tc>
        <w:tc>
          <w:tcPr>
            <w:tcW w:w="2693" w:type="dxa"/>
            <w:vAlign w:val="center"/>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61" w:type="dxa"/>
            <w:vAlign w:val="center"/>
          </w:tcPr>
          <w:p>
            <w:pPr>
              <w:rPr>
                <w:sz w:val="24"/>
                <w:szCs w:val="24"/>
              </w:rPr>
            </w:pPr>
            <w:r>
              <w:rPr>
                <w:rFonts w:hint="eastAsia"/>
                <w:sz w:val="24"/>
                <w:szCs w:val="24"/>
              </w:rPr>
              <w:t>8.</w:t>
            </w:r>
            <w:r>
              <w:rPr>
                <w:rFonts w:hint="eastAsia"/>
              </w:rPr>
              <w:t xml:space="preserve"> </w:t>
            </w:r>
            <w:r>
              <w:rPr>
                <w:rFonts w:hint="eastAsia"/>
                <w:sz w:val="24"/>
                <w:szCs w:val="24"/>
              </w:rPr>
              <w:t>建立2个双师型教师培养培训基地</w:t>
            </w:r>
          </w:p>
        </w:tc>
        <w:tc>
          <w:tcPr>
            <w:tcW w:w="1741" w:type="dxa"/>
            <w:vAlign w:val="center"/>
          </w:tcPr>
          <w:p>
            <w:pPr>
              <w:rPr>
                <w:sz w:val="24"/>
                <w:szCs w:val="24"/>
              </w:rPr>
            </w:pPr>
          </w:p>
        </w:tc>
        <w:tc>
          <w:tcPr>
            <w:tcW w:w="1600" w:type="dxa"/>
            <w:vAlign w:val="center"/>
          </w:tcPr>
          <w:p>
            <w:pPr>
              <w:rPr>
                <w:sz w:val="24"/>
                <w:szCs w:val="24"/>
              </w:rPr>
            </w:pPr>
          </w:p>
        </w:tc>
        <w:tc>
          <w:tcPr>
            <w:tcW w:w="2896" w:type="dxa"/>
            <w:vAlign w:val="center"/>
          </w:tcPr>
          <w:p>
            <w:pPr>
              <w:rPr>
                <w:sz w:val="24"/>
                <w:szCs w:val="24"/>
              </w:rPr>
            </w:pPr>
            <w:r>
              <w:rPr>
                <w:rFonts w:hint="eastAsia"/>
                <w:sz w:val="24"/>
                <w:szCs w:val="24"/>
              </w:rPr>
              <w:t>人事处</w:t>
            </w:r>
          </w:p>
        </w:tc>
        <w:tc>
          <w:tcPr>
            <w:tcW w:w="2693" w:type="dxa"/>
            <w:vAlign w:val="center"/>
          </w:tcPr>
          <w:p>
            <w:pPr>
              <w:rPr>
                <w:sz w:val="24"/>
                <w:szCs w:val="24"/>
              </w:rPr>
            </w:pPr>
            <w:r>
              <w:rPr>
                <w:rFonts w:hint="eastAsia"/>
                <w:sz w:val="24"/>
                <w:szCs w:val="24"/>
              </w:rPr>
              <w:t>继续教育与培训学院、各二级学院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61" w:type="dxa"/>
            <w:vAlign w:val="center"/>
          </w:tcPr>
          <w:p>
            <w:pPr>
              <w:widowControl/>
              <w:shd w:val="clear" w:color="auto" w:fill="FFFFFF"/>
              <w:rPr>
                <w:sz w:val="24"/>
                <w:szCs w:val="24"/>
              </w:rPr>
            </w:pPr>
            <w:r>
              <w:rPr>
                <w:rFonts w:hint="eastAsia"/>
                <w:sz w:val="24"/>
                <w:szCs w:val="24"/>
              </w:rPr>
              <w:t>9.建设2个国家级职业教育教师教学创新团队</w:t>
            </w:r>
          </w:p>
        </w:tc>
        <w:tc>
          <w:tcPr>
            <w:tcW w:w="1741" w:type="dxa"/>
            <w:vAlign w:val="center"/>
          </w:tcPr>
          <w:p>
            <w:pPr>
              <w:rPr>
                <w:sz w:val="24"/>
                <w:szCs w:val="24"/>
              </w:rPr>
            </w:pPr>
          </w:p>
        </w:tc>
        <w:tc>
          <w:tcPr>
            <w:tcW w:w="1600" w:type="dxa"/>
            <w:vAlign w:val="center"/>
          </w:tcPr>
          <w:p>
            <w:pPr>
              <w:rPr>
                <w:sz w:val="24"/>
                <w:szCs w:val="24"/>
              </w:rPr>
            </w:pPr>
          </w:p>
        </w:tc>
        <w:tc>
          <w:tcPr>
            <w:tcW w:w="2896" w:type="dxa"/>
            <w:vAlign w:val="center"/>
          </w:tcPr>
          <w:p>
            <w:pPr>
              <w:rPr>
                <w:sz w:val="24"/>
                <w:szCs w:val="24"/>
              </w:rPr>
            </w:pPr>
            <w:r>
              <w:rPr>
                <w:rFonts w:hint="eastAsia"/>
                <w:sz w:val="24"/>
                <w:szCs w:val="24"/>
              </w:rPr>
              <w:t>人事处</w:t>
            </w:r>
          </w:p>
        </w:tc>
        <w:tc>
          <w:tcPr>
            <w:tcW w:w="2693" w:type="dxa"/>
            <w:vAlign w:val="center"/>
          </w:tcPr>
          <w:p>
            <w:pPr>
              <w:rPr>
                <w:sz w:val="24"/>
                <w:szCs w:val="24"/>
              </w:rPr>
            </w:pPr>
            <w:r>
              <w:rPr>
                <w:rFonts w:hint="eastAsia"/>
                <w:sz w:val="24"/>
                <w:szCs w:val="24"/>
              </w:rPr>
              <w:t>人事处、各二级学院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4361" w:type="dxa"/>
            <w:vAlign w:val="center"/>
          </w:tcPr>
          <w:p>
            <w:pPr>
              <w:rPr>
                <w:sz w:val="24"/>
                <w:szCs w:val="24"/>
              </w:rPr>
            </w:pPr>
            <w:r>
              <w:rPr>
                <w:rFonts w:hint="eastAsia"/>
                <w:sz w:val="24"/>
                <w:szCs w:val="24"/>
              </w:rPr>
              <w:t>10.</w:t>
            </w:r>
            <w:r>
              <w:rPr>
                <w:rFonts w:hint="eastAsia"/>
              </w:rPr>
              <w:t xml:space="preserve"> </w:t>
            </w:r>
            <w:r>
              <w:rPr>
                <w:rFonts w:hint="eastAsia"/>
                <w:sz w:val="24"/>
                <w:szCs w:val="24"/>
              </w:rPr>
              <w:t>建设1个全国示范性职教集团</w:t>
            </w:r>
          </w:p>
        </w:tc>
        <w:tc>
          <w:tcPr>
            <w:tcW w:w="1741" w:type="dxa"/>
            <w:vAlign w:val="center"/>
          </w:tcPr>
          <w:p>
            <w:pPr>
              <w:rPr>
                <w:sz w:val="24"/>
                <w:szCs w:val="24"/>
              </w:rPr>
            </w:pPr>
          </w:p>
        </w:tc>
        <w:tc>
          <w:tcPr>
            <w:tcW w:w="1600" w:type="dxa"/>
            <w:vAlign w:val="center"/>
          </w:tcPr>
          <w:p>
            <w:pPr>
              <w:rPr>
                <w:sz w:val="24"/>
                <w:szCs w:val="24"/>
              </w:rPr>
            </w:pPr>
          </w:p>
        </w:tc>
        <w:tc>
          <w:tcPr>
            <w:tcW w:w="2896" w:type="dxa"/>
            <w:vAlign w:val="center"/>
          </w:tcPr>
          <w:p>
            <w:pPr>
              <w:rPr>
                <w:sz w:val="24"/>
                <w:szCs w:val="24"/>
              </w:rPr>
            </w:pPr>
            <w:r>
              <w:rPr>
                <w:rFonts w:hint="eastAsia"/>
                <w:sz w:val="24"/>
                <w:szCs w:val="24"/>
              </w:rPr>
              <w:t>科研与合作交流处</w:t>
            </w:r>
          </w:p>
        </w:tc>
        <w:tc>
          <w:tcPr>
            <w:tcW w:w="2693" w:type="dxa"/>
            <w:vAlign w:val="center"/>
          </w:tcPr>
          <w:p>
            <w:pPr>
              <w:rPr>
                <w:sz w:val="24"/>
                <w:szCs w:val="24"/>
              </w:rPr>
            </w:pPr>
            <w:r>
              <w:rPr>
                <w:rFonts w:hint="eastAsia"/>
                <w:sz w:val="24"/>
                <w:szCs w:val="24"/>
              </w:rPr>
              <w:t>教务处、继续教育与培训学院、各二级学院</w:t>
            </w:r>
          </w:p>
        </w:tc>
      </w:tr>
    </w:tbl>
    <w:p>
      <w:pPr>
        <w:widowControl/>
        <w:jc w:val="left"/>
        <w:rPr>
          <w:rFonts w:ascii="黑体" w:hAnsi="黑体" w:eastAsia="黑体"/>
          <w:b/>
          <w:sz w:val="32"/>
          <w:szCs w:val="32"/>
        </w:rPr>
      </w:pPr>
      <w:bookmarkStart w:id="0" w:name="_GoBack"/>
      <w:bookmarkEnd w:id="0"/>
      <w:r>
        <w:rPr>
          <w:rFonts w:ascii="黑体" w:hAnsi="黑体" w:eastAsia="黑体"/>
          <w:b/>
          <w:sz w:val="32"/>
          <w:szCs w:val="32"/>
        </w:rPr>
        <w:t>二</w:t>
      </w:r>
      <w:r>
        <w:rPr>
          <w:rFonts w:hint="eastAsia" w:ascii="黑体" w:hAnsi="黑体" w:eastAsia="黑体"/>
          <w:b/>
          <w:sz w:val="32"/>
          <w:szCs w:val="32"/>
        </w:rPr>
        <w:t>、</w:t>
      </w:r>
      <w:r>
        <w:rPr>
          <w:rFonts w:ascii="黑体" w:hAnsi="黑体" w:eastAsia="黑体"/>
          <w:b/>
          <w:sz w:val="32"/>
          <w:szCs w:val="32"/>
        </w:rPr>
        <w:t>任务类</w:t>
      </w:r>
    </w:p>
    <w:tbl>
      <w:tblPr>
        <w:tblStyle w:val="6"/>
        <w:tblW w:w="13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3342"/>
        <w:gridCol w:w="2083"/>
        <w:gridCol w:w="2371"/>
        <w:gridCol w:w="127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8" w:type="dxa"/>
            <w:gridSpan w:val="3"/>
          </w:tcPr>
          <w:p>
            <w:pPr>
              <w:jc w:val="center"/>
              <w:rPr>
                <w:b/>
                <w:sz w:val="24"/>
                <w:szCs w:val="24"/>
              </w:rPr>
            </w:pPr>
            <w:r>
              <w:rPr>
                <w:b/>
                <w:sz w:val="24"/>
                <w:szCs w:val="24"/>
              </w:rPr>
              <w:t>工作任务</w:t>
            </w:r>
          </w:p>
        </w:tc>
        <w:tc>
          <w:tcPr>
            <w:tcW w:w="2083" w:type="dxa"/>
          </w:tcPr>
          <w:p>
            <w:pPr>
              <w:jc w:val="center"/>
              <w:rPr>
                <w:b/>
                <w:sz w:val="24"/>
                <w:szCs w:val="24"/>
              </w:rPr>
            </w:pPr>
            <w:r>
              <w:rPr>
                <w:b/>
                <w:sz w:val="24"/>
                <w:szCs w:val="24"/>
              </w:rPr>
              <w:t>改革目标</w:t>
            </w:r>
          </w:p>
        </w:tc>
        <w:tc>
          <w:tcPr>
            <w:tcW w:w="2371" w:type="dxa"/>
          </w:tcPr>
          <w:p>
            <w:pPr>
              <w:jc w:val="center"/>
              <w:rPr>
                <w:b/>
                <w:sz w:val="24"/>
                <w:szCs w:val="24"/>
              </w:rPr>
            </w:pPr>
            <w:r>
              <w:rPr>
                <w:b/>
                <w:sz w:val="24"/>
                <w:szCs w:val="24"/>
              </w:rPr>
              <w:t>具体举措</w:t>
            </w:r>
          </w:p>
        </w:tc>
        <w:tc>
          <w:tcPr>
            <w:tcW w:w="1276" w:type="dxa"/>
          </w:tcPr>
          <w:p>
            <w:pPr>
              <w:jc w:val="center"/>
              <w:rPr>
                <w:b/>
                <w:sz w:val="24"/>
                <w:szCs w:val="24"/>
              </w:rPr>
            </w:pPr>
            <w:r>
              <w:rPr>
                <w:b/>
                <w:sz w:val="24"/>
                <w:szCs w:val="24"/>
              </w:rPr>
              <w:t>牵头部门</w:t>
            </w:r>
          </w:p>
        </w:tc>
        <w:tc>
          <w:tcPr>
            <w:tcW w:w="2693" w:type="dxa"/>
          </w:tcPr>
          <w:p>
            <w:pPr>
              <w:jc w:val="center"/>
              <w:rPr>
                <w:b/>
                <w:sz w:val="24"/>
                <w:szCs w:val="24"/>
              </w:rPr>
            </w:pPr>
            <w:r>
              <w:rPr>
                <w:b/>
                <w:sz w:val="24"/>
                <w:szCs w:val="24"/>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Pr>
          <w:p>
            <w:pPr>
              <w:rPr>
                <w:b/>
                <w:sz w:val="24"/>
                <w:szCs w:val="24"/>
              </w:rPr>
            </w:pPr>
            <w:r>
              <w:rPr>
                <w:b/>
                <w:sz w:val="24"/>
                <w:szCs w:val="24"/>
              </w:rPr>
              <w:t>一</w:t>
            </w:r>
            <w:r>
              <w:rPr>
                <w:rFonts w:hint="eastAsia"/>
                <w:b/>
                <w:sz w:val="24"/>
                <w:szCs w:val="24"/>
              </w:rPr>
              <w:t>、</w:t>
            </w:r>
          </w:p>
          <w:p>
            <w:pPr>
              <w:rPr>
                <w:b/>
                <w:sz w:val="24"/>
                <w:szCs w:val="24"/>
              </w:rPr>
            </w:pPr>
            <w:r>
              <w:rPr>
                <w:b/>
                <w:sz w:val="24"/>
                <w:szCs w:val="24"/>
              </w:rPr>
              <w:t>完</w:t>
            </w:r>
          </w:p>
          <w:p>
            <w:pPr>
              <w:rPr>
                <w:b/>
                <w:sz w:val="24"/>
                <w:szCs w:val="24"/>
              </w:rPr>
            </w:pPr>
            <w:r>
              <w:rPr>
                <w:b/>
                <w:sz w:val="24"/>
                <w:szCs w:val="24"/>
              </w:rPr>
              <w:t>善</w:t>
            </w:r>
          </w:p>
          <w:p>
            <w:pPr>
              <w:rPr>
                <w:b/>
                <w:sz w:val="24"/>
                <w:szCs w:val="24"/>
              </w:rPr>
            </w:pPr>
            <w:r>
              <w:rPr>
                <w:b/>
                <w:sz w:val="24"/>
                <w:szCs w:val="24"/>
              </w:rPr>
              <w:t>国</w:t>
            </w:r>
          </w:p>
          <w:p>
            <w:pPr>
              <w:rPr>
                <w:b/>
                <w:sz w:val="24"/>
                <w:szCs w:val="24"/>
              </w:rPr>
            </w:pPr>
            <w:r>
              <w:rPr>
                <w:b/>
                <w:sz w:val="24"/>
                <w:szCs w:val="24"/>
              </w:rPr>
              <w:t>家</w:t>
            </w:r>
          </w:p>
          <w:p>
            <w:pPr>
              <w:rPr>
                <w:b/>
                <w:sz w:val="24"/>
                <w:szCs w:val="24"/>
              </w:rPr>
            </w:pPr>
            <w:r>
              <w:rPr>
                <w:b/>
                <w:sz w:val="24"/>
                <w:szCs w:val="24"/>
              </w:rPr>
              <w:t>职</w:t>
            </w:r>
          </w:p>
          <w:p>
            <w:pPr>
              <w:rPr>
                <w:b/>
                <w:sz w:val="24"/>
                <w:szCs w:val="24"/>
              </w:rPr>
            </w:pPr>
            <w:r>
              <w:rPr>
                <w:b/>
                <w:sz w:val="24"/>
                <w:szCs w:val="24"/>
              </w:rPr>
              <w:t>业</w:t>
            </w:r>
          </w:p>
          <w:p>
            <w:pPr>
              <w:rPr>
                <w:b/>
                <w:sz w:val="24"/>
                <w:szCs w:val="24"/>
              </w:rPr>
            </w:pPr>
            <w:r>
              <w:rPr>
                <w:b/>
                <w:sz w:val="24"/>
                <w:szCs w:val="24"/>
              </w:rPr>
              <w:t>教</w:t>
            </w:r>
          </w:p>
          <w:p>
            <w:pPr>
              <w:rPr>
                <w:b/>
                <w:sz w:val="24"/>
                <w:szCs w:val="24"/>
              </w:rPr>
            </w:pPr>
            <w:r>
              <w:rPr>
                <w:b/>
                <w:sz w:val="24"/>
                <w:szCs w:val="24"/>
              </w:rPr>
              <w:t>育</w:t>
            </w:r>
          </w:p>
          <w:p>
            <w:pPr>
              <w:rPr>
                <w:b/>
                <w:sz w:val="24"/>
                <w:szCs w:val="24"/>
              </w:rPr>
            </w:pPr>
            <w:r>
              <w:rPr>
                <w:b/>
                <w:sz w:val="24"/>
                <w:szCs w:val="24"/>
              </w:rPr>
              <w:t>制</w:t>
            </w:r>
          </w:p>
          <w:p>
            <w:pPr>
              <w:rPr>
                <w:b/>
                <w:sz w:val="24"/>
                <w:szCs w:val="24"/>
              </w:rPr>
            </w:pPr>
            <w:r>
              <w:rPr>
                <w:b/>
                <w:sz w:val="24"/>
                <w:szCs w:val="24"/>
              </w:rPr>
              <w:t>度</w:t>
            </w:r>
          </w:p>
          <w:p>
            <w:pPr>
              <w:rPr>
                <w:b/>
                <w:sz w:val="24"/>
                <w:szCs w:val="24"/>
              </w:rPr>
            </w:pPr>
            <w:r>
              <w:rPr>
                <w:b/>
                <w:sz w:val="24"/>
                <w:szCs w:val="24"/>
              </w:rPr>
              <w:t>体</w:t>
            </w:r>
          </w:p>
          <w:p>
            <w:pPr>
              <w:rPr>
                <w:b/>
                <w:sz w:val="24"/>
                <w:szCs w:val="24"/>
              </w:rPr>
            </w:pPr>
            <w:r>
              <w:rPr>
                <w:b/>
                <w:sz w:val="24"/>
                <w:szCs w:val="24"/>
              </w:rPr>
              <w:t>系</w:t>
            </w:r>
          </w:p>
        </w:tc>
        <w:tc>
          <w:tcPr>
            <w:tcW w:w="851" w:type="dxa"/>
            <w:vMerge w:val="restart"/>
          </w:tcPr>
          <w:p>
            <w:pPr>
              <w:rPr>
                <w:sz w:val="24"/>
                <w:szCs w:val="24"/>
              </w:rPr>
            </w:pPr>
            <w:r>
              <w:rPr>
                <w:rFonts w:hint="eastAsia"/>
                <w:sz w:val="24"/>
                <w:szCs w:val="24"/>
              </w:rPr>
              <w:t>（一）</w:t>
            </w:r>
          </w:p>
          <w:p>
            <w:pPr>
              <w:rPr>
                <w:color w:val="FF0000"/>
                <w:sz w:val="24"/>
                <w:szCs w:val="24"/>
              </w:rPr>
            </w:pPr>
            <w:r>
              <w:rPr>
                <w:rFonts w:hint="eastAsia"/>
                <w:color w:val="FF0000"/>
                <w:sz w:val="24"/>
                <w:szCs w:val="24"/>
              </w:rPr>
              <w:t>落</w:t>
            </w:r>
          </w:p>
          <w:p>
            <w:pPr>
              <w:rPr>
                <w:color w:val="FF0000"/>
                <w:sz w:val="24"/>
                <w:szCs w:val="24"/>
              </w:rPr>
            </w:pPr>
            <w:r>
              <w:rPr>
                <w:rFonts w:hint="eastAsia"/>
                <w:color w:val="FF0000"/>
                <w:sz w:val="24"/>
                <w:szCs w:val="24"/>
              </w:rPr>
              <w:t>实</w:t>
            </w:r>
          </w:p>
          <w:p>
            <w:pPr>
              <w:rPr>
                <w:sz w:val="24"/>
                <w:szCs w:val="24"/>
              </w:rPr>
            </w:pPr>
            <w:r>
              <w:rPr>
                <w:rFonts w:hint="eastAsia"/>
                <w:sz w:val="24"/>
                <w:szCs w:val="24"/>
              </w:rPr>
              <w:t>国</w:t>
            </w:r>
          </w:p>
          <w:p>
            <w:pPr>
              <w:rPr>
                <w:sz w:val="24"/>
                <w:szCs w:val="24"/>
              </w:rPr>
            </w:pPr>
            <w:r>
              <w:rPr>
                <w:rFonts w:hint="eastAsia"/>
                <w:sz w:val="24"/>
                <w:szCs w:val="24"/>
              </w:rPr>
              <w:t>家</w:t>
            </w:r>
          </w:p>
          <w:p>
            <w:pPr>
              <w:rPr>
                <w:sz w:val="24"/>
                <w:szCs w:val="24"/>
              </w:rPr>
            </w:pPr>
            <w:r>
              <w:rPr>
                <w:rFonts w:hint="eastAsia"/>
                <w:sz w:val="24"/>
                <w:szCs w:val="24"/>
              </w:rPr>
              <w:t>职</w:t>
            </w:r>
          </w:p>
          <w:p>
            <w:pPr>
              <w:rPr>
                <w:sz w:val="24"/>
                <w:szCs w:val="24"/>
              </w:rPr>
            </w:pPr>
            <w:r>
              <w:rPr>
                <w:rFonts w:hint="eastAsia"/>
                <w:sz w:val="24"/>
                <w:szCs w:val="24"/>
              </w:rPr>
              <w:t>业</w:t>
            </w:r>
          </w:p>
          <w:p>
            <w:pPr>
              <w:rPr>
                <w:sz w:val="24"/>
                <w:szCs w:val="24"/>
              </w:rPr>
            </w:pPr>
            <w:r>
              <w:rPr>
                <w:rFonts w:hint="eastAsia"/>
                <w:sz w:val="24"/>
                <w:szCs w:val="24"/>
              </w:rPr>
              <w:t>教</w:t>
            </w:r>
          </w:p>
          <w:p>
            <w:pPr>
              <w:rPr>
                <w:sz w:val="24"/>
                <w:szCs w:val="24"/>
              </w:rPr>
            </w:pPr>
            <w:r>
              <w:rPr>
                <w:rFonts w:hint="eastAsia"/>
                <w:sz w:val="24"/>
                <w:szCs w:val="24"/>
              </w:rPr>
              <w:t>育</w:t>
            </w:r>
          </w:p>
          <w:p>
            <w:pPr>
              <w:rPr>
                <w:sz w:val="24"/>
                <w:szCs w:val="24"/>
              </w:rPr>
            </w:pPr>
            <w:r>
              <w:rPr>
                <w:rFonts w:hint="eastAsia"/>
                <w:sz w:val="24"/>
                <w:szCs w:val="24"/>
              </w:rPr>
              <w:t>制</w:t>
            </w:r>
          </w:p>
          <w:p>
            <w:pPr>
              <w:rPr>
                <w:sz w:val="24"/>
                <w:szCs w:val="24"/>
              </w:rPr>
            </w:pPr>
            <w:r>
              <w:rPr>
                <w:rFonts w:hint="eastAsia"/>
                <w:sz w:val="24"/>
                <w:szCs w:val="24"/>
              </w:rPr>
              <w:t>度</w:t>
            </w:r>
          </w:p>
          <w:p>
            <w:pPr>
              <w:rPr>
                <w:sz w:val="24"/>
                <w:szCs w:val="24"/>
              </w:rPr>
            </w:pPr>
            <w:r>
              <w:rPr>
                <w:rFonts w:hint="eastAsia"/>
                <w:sz w:val="24"/>
                <w:szCs w:val="24"/>
              </w:rPr>
              <w:t>框</w:t>
            </w:r>
          </w:p>
          <w:p>
            <w:pPr>
              <w:rPr>
                <w:sz w:val="24"/>
                <w:szCs w:val="24"/>
              </w:rPr>
            </w:pPr>
            <w:r>
              <w:rPr>
                <w:rFonts w:hint="eastAsia"/>
                <w:sz w:val="24"/>
                <w:szCs w:val="24"/>
              </w:rPr>
              <w:t>架</w:t>
            </w:r>
          </w:p>
        </w:tc>
        <w:tc>
          <w:tcPr>
            <w:tcW w:w="3342" w:type="dxa"/>
          </w:tcPr>
          <w:p>
            <w:pPr>
              <w:rPr>
                <w:sz w:val="24"/>
                <w:szCs w:val="24"/>
              </w:rPr>
            </w:pPr>
            <w:r>
              <w:rPr>
                <w:rFonts w:hint="eastAsia"/>
                <w:sz w:val="24"/>
                <w:szCs w:val="24"/>
              </w:rPr>
              <w:t>1．把握好正确的改革方向，按照“管好两端、规范中间、书证融通、办学多元”的原则，严把教学标准和毕业学生质量标准两个关口。</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教务处</w:t>
            </w:r>
          </w:p>
        </w:tc>
        <w:tc>
          <w:tcPr>
            <w:tcW w:w="2693" w:type="dxa"/>
          </w:tcPr>
          <w:p>
            <w:pPr>
              <w:rPr>
                <w:sz w:val="24"/>
                <w:szCs w:val="24"/>
              </w:rPr>
            </w:pPr>
            <w:r>
              <w:rPr>
                <w:rFonts w:hint="eastAsia"/>
                <w:sz w:val="24"/>
                <w:szCs w:val="24"/>
              </w:rPr>
              <w:t>学生处、招生就业处、各二级学院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rPr>
                <w:sz w:val="24"/>
                <w:szCs w:val="24"/>
              </w:rPr>
            </w:pPr>
            <w:r>
              <w:rPr>
                <w:rFonts w:hint="eastAsia"/>
                <w:sz w:val="24"/>
                <w:szCs w:val="24"/>
              </w:rPr>
              <w:t>2.</w:t>
            </w:r>
            <w:r>
              <w:rPr>
                <w:rFonts w:ascii="Arial" w:hAnsi="Arial" w:cs="Arial"/>
                <w:color w:val="333333"/>
                <w:kern w:val="0"/>
                <w:sz w:val="24"/>
                <w:szCs w:val="24"/>
              </w:rPr>
              <w:t xml:space="preserve"> 落实好立德树人根本任务，健全德技并修、工学结合的育人机制，完善评价机制，规范人才培养全过程</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党委宣传部</w:t>
            </w:r>
          </w:p>
        </w:tc>
        <w:tc>
          <w:tcPr>
            <w:tcW w:w="2693" w:type="dxa"/>
          </w:tcPr>
          <w:p>
            <w:pPr>
              <w:rPr>
                <w:sz w:val="24"/>
                <w:szCs w:val="24"/>
              </w:rPr>
            </w:pPr>
            <w:r>
              <w:rPr>
                <w:rFonts w:hint="eastAsia"/>
                <w:sz w:val="24"/>
                <w:szCs w:val="24"/>
              </w:rPr>
              <w:t>教务处、学生处、马克思主义学院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widowControl/>
              <w:shd w:val="clear" w:color="auto" w:fill="FFFFFF"/>
              <w:adjustRightInd w:val="0"/>
              <w:snapToGrid w:val="0"/>
              <w:jc w:val="left"/>
              <w:rPr>
                <w:rFonts w:ascii="Arial" w:hAnsi="Arial" w:cs="Arial"/>
                <w:color w:val="333333"/>
                <w:kern w:val="0"/>
                <w:sz w:val="24"/>
                <w:szCs w:val="24"/>
              </w:rPr>
            </w:pPr>
            <w:r>
              <w:rPr>
                <w:rFonts w:hint="eastAsia"/>
                <w:sz w:val="24"/>
                <w:szCs w:val="24"/>
              </w:rPr>
              <w:t>3.</w:t>
            </w:r>
            <w:r>
              <w:rPr>
                <w:rFonts w:ascii="Arial" w:hAnsi="Arial" w:cs="Arial"/>
                <w:color w:val="333333"/>
                <w:kern w:val="0"/>
                <w:sz w:val="24"/>
                <w:szCs w:val="24"/>
              </w:rPr>
              <w:t xml:space="preserve"> 深化产教融合、校企合作，育训结合，健全多元化办学格局，推动企业深度参与协同育人，扶持鼓励企业和社会力量参与举办各类职业教育。</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科研与合作交流处</w:t>
            </w: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widowControl/>
              <w:shd w:val="clear" w:color="auto" w:fill="FFFFFF"/>
              <w:adjustRightInd w:val="0"/>
              <w:snapToGrid w:val="0"/>
              <w:jc w:val="left"/>
              <w:rPr>
                <w:sz w:val="24"/>
                <w:szCs w:val="24"/>
              </w:rPr>
            </w:pPr>
            <w:r>
              <w:rPr>
                <w:rFonts w:hint="eastAsia" w:ascii="Arial" w:hAnsi="Arial" w:cs="Arial"/>
                <w:color w:val="333333"/>
                <w:kern w:val="0"/>
                <w:sz w:val="24"/>
                <w:szCs w:val="24"/>
              </w:rPr>
              <w:t>4.</w:t>
            </w:r>
            <w:r>
              <w:rPr>
                <w:rFonts w:ascii="Arial" w:hAnsi="Arial" w:cs="Arial"/>
                <w:color w:val="333333"/>
                <w:kern w:val="0"/>
                <w:sz w:val="24"/>
                <w:szCs w:val="24"/>
              </w:rPr>
              <w:t>推进资历框架建设，探索实现学历证书和职业技能等级证书互通衔接。</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教务处</w:t>
            </w:r>
          </w:p>
        </w:tc>
        <w:tc>
          <w:tcPr>
            <w:tcW w:w="2693" w:type="dxa"/>
          </w:tcPr>
          <w:p>
            <w:pPr>
              <w:rPr>
                <w:sz w:val="24"/>
                <w:szCs w:val="24"/>
              </w:rPr>
            </w:pPr>
            <w:r>
              <w:rPr>
                <w:rFonts w:hint="eastAsia"/>
                <w:sz w:val="24"/>
                <w:szCs w:val="24"/>
              </w:rPr>
              <w:t>继续教育与培训学院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restart"/>
          </w:tcPr>
          <w:p>
            <w:pPr>
              <w:rPr>
                <w:sz w:val="24"/>
                <w:szCs w:val="24"/>
              </w:rPr>
            </w:pPr>
            <w:r>
              <w:rPr>
                <w:rFonts w:hint="eastAsia"/>
                <w:sz w:val="24"/>
                <w:szCs w:val="24"/>
              </w:rPr>
              <w:t>（三）推</w:t>
            </w:r>
          </w:p>
          <w:p>
            <w:pPr>
              <w:rPr>
                <w:sz w:val="24"/>
                <w:szCs w:val="24"/>
              </w:rPr>
            </w:pPr>
            <w:r>
              <w:rPr>
                <w:rFonts w:hint="eastAsia"/>
                <w:sz w:val="24"/>
                <w:szCs w:val="24"/>
              </w:rPr>
              <w:t>进</w:t>
            </w:r>
          </w:p>
          <w:p>
            <w:pPr>
              <w:rPr>
                <w:sz w:val="24"/>
                <w:szCs w:val="24"/>
              </w:rPr>
            </w:pPr>
            <w:r>
              <w:rPr>
                <w:rFonts w:hint="eastAsia"/>
                <w:sz w:val="24"/>
                <w:szCs w:val="24"/>
              </w:rPr>
              <w:t>高</w:t>
            </w:r>
          </w:p>
          <w:p>
            <w:pPr>
              <w:rPr>
                <w:sz w:val="24"/>
                <w:szCs w:val="24"/>
              </w:rPr>
            </w:pPr>
            <w:r>
              <w:rPr>
                <w:rFonts w:hint="eastAsia"/>
                <w:sz w:val="24"/>
                <w:szCs w:val="24"/>
              </w:rPr>
              <w:t>等</w:t>
            </w:r>
          </w:p>
          <w:p>
            <w:pPr>
              <w:rPr>
                <w:sz w:val="24"/>
                <w:szCs w:val="24"/>
              </w:rPr>
            </w:pPr>
            <w:r>
              <w:rPr>
                <w:rFonts w:hint="eastAsia"/>
                <w:sz w:val="24"/>
                <w:szCs w:val="24"/>
              </w:rPr>
              <w:t>职</w:t>
            </w:r>
          </w:p>
          <w:p>
            <w:pPr>
              <w:rPr>
                <w:sz w:val="24"/>
                <w:szCs w:val="24"/>
              </w:rPr>
            </w:pPr>
            <w:r>
              <w:rPr>
                <w:rFonts w:hint="eastAsia"/>
                <w:sz w:val="24"/>
                <w:szCs w:val="24"/>
              </w:rPr>
              <w:t>业</w:t>
            </w:r>
          </w:p>
          <w:p>
            <w:pPr>
              <w:rPr>
                <w:sz w:val="24"/>
                <w:szCs w:val="24"/>
              </w:rPr>
            </w:pPr>
            <w:r>
              <w:rPr>
                <w:rFonts w:hint="eastAsia"/>
                <w:sz w:val="24"/>
                <w:szCs w:val="24"/>
              </w:rPr>
              <w:t>教</w:t>
            </w:r>
          </w:p>
          <w:p>
            <w:pPr>
              <w:rPr>
                <w:sz w:val="24"/>
                <w:szCs w:val="24"/>
              </w:rPr>
            </w:pPr>
            <w:r>
              <w:rPr>
                <w:rFonts w:hint="eastAsia"/>
                <w:sz w:val="24"/>
                <w:szCs w:val="24"/>
              </w:rPr>
              <w:t>育</w:t>
            </w:r>
          </w:p>
          <w:p>
            <w:pPr>
              <w:rPr>
                <w:sz w:val="24"/>
                <w:szCs w:val="24"/>
              </w:rPr>
            </w:pPr>
            <w:r>
              <w:rPr>
                <w:rFonts w:hint="eastAsia"/>
                <w:sz w:val="24"/>
                <w:szCs w:val="24"/>
              </w:rPr>
              <w:t>高</w:t>
            </w:r>
          </w:p>
          <w:p>
            <w:pPr>
              <w:rPr>
                <w:sz w:val="24"/>
                <w:szCs w:val="24"/>
              </w:rPr>
            </w:pPr>
            <w:r>
              <w:rPr>
                <w:rFonts w:hint="eastAsia"/>
                <w:sz w:val="24"/>
                <w:szCs w:val="24"/>
              </w:rPr>
              <w:t>质</w:t>
            </w:r>
          </w:p>
          <w:p>
            <w:pPr>
              <w:rPr>
                <w:sz w:val="24"/>
                <w:szCs w:val="24"/>
              </w:rPr>
            </w:pPr>
            <w:r>
              <w:rPr>
                <w:rFonts w:hint="eastAsia"/>
                <w:sz w:val="24"/>
                <w:szCs w:val="24"/>
              </w:rPr>
              <w:t>量</w:t>
            </w:r>
          </w:p>
          <w:p>
            <w:pPr>
              <w:rPr>
                <w:sz w:val="24"/>
                <w:szCs w:val="24"/>
              </w:rPr>
            </w:pPr>
            <w:r>
              <w:rPr>
                <w:rFonts w:hint="eastAsia"/>
                <w:sz w:val="24"/>
                <w:szCs w:val="24"/>
              </w:rPr>
              <w:t>发</w:t>
            </w:r>
          </w:p>
          <w:p>
            <w:pPr>
              <w:rPr>
                <w:sz w:val="24"/>
                <w:szCs w:val="24"/>
              </w:rPr>
            </w:pPr>
            <w:r>
              <w:rPr>
                <w:rFonts w:hint="eastAsia"/>
                <w:sz w:val="24"/>
                <w:szCs w:val="24"/>
              </w:rPr>
              <w:t>展</w:t>
            </w:r>
          </w:p>
          <w:p>
            <w:pPr>
              <w:rPr>
                <w:sz w:val="24"/>
                <w:szCs w:val="24"/>
              </w:rPr>
            </w:pPr>
          </w:p>
          <w:p>
            <w:pPr>
              <w:rPr>
                <w:sz w:val="24"/>
                <w:szCs w:val="24"/>
              </w:rPr>
            </w:pPr>
          </w:p>
          <w:p>
            <w:pPr>
              <w:rPr>
                <w:rFonts w:ascii="Arial" w:hAnsi="Arial" w:cs="Arial"/>
                <w:color w:val="333333"/>
                <w:kern w:val="0"/>
                <w:sz w:val="24"/>
                <w:szCs w:val="24"/>
              </w:rPr>
            </w:pPr>
            <w:r>
              <w:rPr>
                <w:rFonts w:ascii="Arial" w:hAnsi="Arial" w:cs="Arial"/>
                <w:color w:val="333333"/>
                <w:kern w:val="0"/>
                <w:sz w:val="24"/>
                <w:szCs w:val="24"/>
              </w:rPr>
              <w:t>（</w:t>
            </w:r>
            <w:r>
              <w:rPr>
                <w:rFonts w:hint="eastAsia" w:ascii="Arial" w:hAnsi="Arial" w:cs="Arial"/>
                <w:color w:val="333333"/>
                <w:kern w:val="0"/>
                <w:sz w:val="24"/>
                <w:szCs w:val="24"/>
              </w:rPr>
              <w:t>四</w:t>
            </w:r>
            <w:r>
              <w:rPr>
                <w:rFonts w:ascii="Arial" w:hAnsi="Arial" w:cs="Arial"/>
                <w:color w:val="333333"/>
                <w:kern w:val="0"/>
                <w:sz w:val="24"/>
                <w:szCs w:val="24"/>
              </w:rPr>
              <w:t>）</w:t>
            </w:r>
          </w:p>
          <w:p>
            <w:pPr>
              <w:rPr>
                <w:sz w:val="24"/>
                <w:szCs w:val="24"/>
              </w:rPr>
            </w:pPr>
            <w:r>
              <w:rPr>
                <w:rFonts w:hint="eastAsia" w:ascii="Arial" w:hAnsi="Arial" w:cs="Arial"/>
                <w:color w:val="333333"/>
                <w:kern w:val="0"/>
                <w:sz w:val="24"/>
                <w:szCs w:val="24"/>
              </w:rPr>
              <w:t>完善高层次应用型人才培养体系</w:t>
            </w:r>
          </w:p>
        </w:tc>
        <w:tc>
          <w:tcPr>
            <w:tcW w:w="3342" w:type="dxa"/>
          </w:tcPr>
          <w:p>
            <w:pPr>
              <w:rPr>
                <w:sz w:val="24"/>
                <w:szCs w:val="24"/>
              </w:rPr>
            </w:pPr>
            <w:r>
              <w:rPr>
                <w:rFonts w:hint="eastAsia"/>
                <w:sz w:val="24"/>
                <w:szCs w:val="24"/>
              </w:rPr>
              <w:t>1.</w:t>
            </w:r>
            <w:r>
              <w:rPr>
                <w:rFonts w:ascii="Arial" w:hAnsi="Arial" w:cs="Arial"/>
                <w:color w:val="333333"/>
                <w:kern w:val="0"/>
                <w:sz w:val="24"/>
                <w:szCs w:val="24"/>
              </w:rPr>
              <w:t xml:space="preserve"> 高等职业学校要培养服务区域发展的高素质技术技能人才，重点服务企业特别是中小微企业的技术研发和产品升级，加强社区教育和终身学习服务</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科研与合作交流处</w:t>
            </w:r>
          </w:p>
        </w:tc>
        <w:tc>
          <w:tcPr>
            <w:tcW w:w="2693" w:type="dxa"/>
          </w:tcPr>
          <w:p>
            <w:pPr>
              <w:rPr>
                <w:sz w:val="24"/>
                <w:szCs w:val="24"/>
              </w:rPr>
            </w:pPr>
            <w:r>
              <w:rPr>
                <w:rFonts w:hint="eastAsia"/>
                <w:sz w:val="24"/>
                <w:szCs w:val="24"/>
              </w:rPr>
              <w:t>教务处、继续教育与培训学院、各二级学院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rPr>
                <w:sz w:val="24"/>
                <w:szCs w:val="24"/>
              </w:rPr>
            </w:pPr>
            <w:r>
              <w:rPr>
                <w:rFonts w:hint="eastAsia"/>
                <w:sz w:val="24"/>
                <w:szCs w:val="24"/>
              </w:rPr>
              <w:t>2.</w:t>
            </w:r>
            <w:r>
              <w:rPr>
                <w:rFonts w:ascii="Arial" w:hAnsi="Arial" w:cs="Arial"/>
                <w:color w:val="333333"/>
                <w:kern w:val="0"/>
                <w:sz w:val="24"/>
                <w:szCs w:val="24"/>
              </w:rPr>
              <w:t xml:space="preserve"> 建立“职教高考”制度，完善“文化素质+职业技能”的考试招生办法，提高生源质量，为学生接受高等职业教育提供多种入学方式和学习方式</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招生就业处</w:t>
            </w:r>
          </w:p>
        </w:tc>
        <w:tc>
          <w:tcPr>
            <w:tcW w:w="2693" w:type="dxa"/>
          </w:tcPr>
          <w:p>
            <w:pPr>
              <w:rPr>
                <w:sz w:val="24"/>
                <w:szCs w:val="24"/>
              </w:rPr>
            </w:pPr>
            <w:r>
              <w:rPr>
                <w:sz w:val="24"/>
                <w:szCs w:val="24"/>
              </w:rPr>
              <w:t>教务处</w:t>
            </w:r>
            <w:r>
              <w:rPr>
                <w:rFonts w:hint="eastAsia"/>
                <w:sz w:val="24"/>
                <w:szCs w:val="24"/>
              </w:rPr>
              <w:t>、</w:t>
            </w:r>
            <w:r>
              <w:rPr>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rPr>
                <w:sz w:val="24"/>
                <w:szCs w:val="24"/>
              </w:rPr>
            </w:pPr>
            <w:r>
              <w:rPr>
                <w:rFonts w:hint="eastAsia"/>
                <w:sz w:val="24"/>
                <w:szCs w:val="24"/>
              </w:rPr>
              <w:t>3.</w:t>
            </w:r>
            <w:r>
              <w:rPr>
                <w:rFonts w:ascii="Arial" w:hAnsi="Arial" w:cs="Arial"/>
                <w:color w:val="333333"/>
                <w:kern w:val="0"/>
                <w:sz w:val="24"/>
                <w:szCs w:val="24"/>
              </w:rPr>
              <w:t xml:space="preserve"> 在学前教育、护理、养老服务、健康服务、现代服务业等领域，扩大对初中毕业生实行中高职贯通培养的招生规模</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教务处</w:t>
            </w:r>
          </w:p>
        </w:tc>
        <w:tc>
          <w:tcPr>
            <w:tcW w:w="2693" w:type="dxa"/>
          </w:tcPr>
          <w:p>
            <w:pPr>
              <w:rPr>
                <w:sz w:val="24"/>
                <w:szCs w:val="24"/>
              </w:rPr>
            </w:pPr>
            <w:r>
              <w:rPr>
                <w:sz w:val="24"/>
                <w:szCs w:val="24"/>
              </w:rPr>
              <w:t>招生就业处</w:t>
            </w:r>
            <w:r>
              <w:rPr>
                <w:rFonts w:hint="eastAsia"/>
                <w:sz w:val="24"/>
                <w:szCs w:val="24"/>
              </w:rPr>
              <w:t>、</w:t>
            </w:r>
            <w:r>
              <w:rPr>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sz w:val="24"/>
                <w:szCs w:val="24"/>
              </w:rPr>
            </w:pPr>
          </w:p>
        </w:tc>
        <w:tc>
          <w:tcPr>
            <w:tcW w:w="851" w:type="dxa"/>
            <w:vMerge w:val="continue"/>
          </w:tcPr>
          <w:p>
            <w:pPr>
              <w:rPr>
                <w:sz w:val="24"/>
                <w:szCs w:val="24"/>
              </w:rPr>
            </w:pPr>
          </w:p>
        </w:tc>
        <w:tc>
          <w:tcPr>
            <w:tcW w:w="3342" w:type="dxa"/>
          </w:tcPr>
          <w:p>
            <w:pPr>
              <w:rPr>
                <w:color w:val="FF0000"/>
                <w:sz w:val="24"/>
                <w:szCs w:val="24"/>
              </w:rPr>
            </w:pPr>
            <w:r>
              <w:rPr>
                <w:rFonts w:hint="eastAsia"/>
                <w:color w:val="FF0000"/>
                <w:sz w:val="24"/>
                <w:szCs w:val="24"/>
              </w:rPr>
              <w:t>1.开展本科层次职业教育试点</w:t>
            </w:r>
          </w:p>
        </w:tc>
        <w:tc>
          <w:tcPr>
            <w:tcW w:w="2083" w:type="dxa"/>
          </w:tcPr>
          <w:p>
            <w:pPr>
              <w:rPr>
                <w:sz w:val="24"/>
                <w:szCs w:val="24"/>
              </w:rPr>
            </w:pPr>
          </w:p>
          <w:p>
            <w:pPr>
              <w:rPr>
                <w:sz w:val="24"/>
                <w:szCs w:val="24"/>
              </w:rPr>
            </w:pPr>
          </w:p>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发展规划与质量保障处</w:t>
            </w:r>
          </w:p>
        </w:tc>
        <w:tc>
          <w:tcPr>
            <w:tcW w:w="2693" w:type="dxa"/>
          </w:tcPr>
          <w:p>
            <w:pPr>
              <w:rPr>
                <w:sz w:val="24"/>
                <w:szCs w:val="24"/>
              </w:rPr>
            </w:pPr>
            <w:r>
              <w:rPr>
                <w:rFonts w:hint="eastAsia"/>
                <w:sz w:val="24"/>
                <w:szCs w:val="24"/>
              </w:rPr>
              <w:t>各二级部门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Pr>
          <w:p>
            <w:pPr>
              <w:rPr>
                <w:sz w:val="24"/>
                <w:szCs w:val="24"/>
              </w:rPr>
            </w:pPr>
          </w:p>
        </w:tc>
        <w:tc>
          <w:tcPr>
            <w:tcW w:w="851" w:type="dxa"/>
            <w:vMerge w:val="continue"/>
          </w:tcPr>
          <w:p>
            <w:pPr>
              <w:widowControl/>
              <w:shd w:val="clear" w:color="auto" w:fill="FFFFFF"/>
              <w:spacing w:line="360" w:lineRule="auto"/>
              <w:jc w:val="left"/>
              <w:rPr>
                <w:rFonts w:ascii="Arial" w:hAnsi="Arial" w:cs="Arial"/>
                <w:color w:val="333333"/>
                <w:kern w:val="0"/>
                <w:sz w:val="24"/>
                <w:szCs w:val="24"/>
              </w:rPr>
            </w:pPr>
          </w:p>
        </w:tc>
        <w:tc>
          <w:tcPr>
            <w:tcW w:w="3342" w:type="dxa"/>
          </w:tcPr>
          <w:p>
            <w:pPr>
              <w:rPr>
                <w:sz w:val="24"/>
                <w:szCs w:val="24"/>
              </w:rPr>
            </w:pPr>
            <w:r>
              <w:rPr>
                <w:rFonts w:hint="eastAsia"/>
                <w:sz w:val="24"/>
                <w:szCs w:val="24"/>
              </w:rPr>
              <w:t>2.</w:t>
            </w:r>
            <w:r>
              <w:rPr>
                <w:rFonts w:ascii="Arial" w:hAnsi="Arial" w:cs="Arial"/>
                <w:color w:val="333333"/>
                <w:kern w:val="0"/>
                <w:sz w:val="24"/>
                <w:szCs w:val="24"/>
              </w:rPr>
              <w:t xml:space="preserve"> 制定中国技能大赛、全国职业院校技能大赛、世界技能大赛获奖选手等免试入学政策，探索长学制培养高端技术技能人才</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教务处</w:t>
            </w:r>
          </w:p>
        </w:tc>
        <w:tc>
          <w:tcPr>
            <w:tcW w:w="2693" w:type="dxa"/>
          </w:tcPr>
          <w:p>
            <w:pPr>
              <w:rPr>
                <w:sz w:val="24"/>
                <w:szCs w:val="24"/>
              </w:rPr>
            </w:pPr>
            <w:r>
              <w:rPr>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widowControl/>
              <w:shd w:val="clear" w:color="auto" w:fill="FFFFFF"/>
              <w:spacing w:line="360" w:lineRule="auto"/>
              <w:jc w:val="left"/>
              <w:rPr>
                <w:rFonts w:ascii="Arial" w:hAnsi="Arial" w:cs="Arial"/>
                <w:color w:val="333333"/>
                <w:kern w:val="0"/>
                <w:sz w:val="24"/>
                <w:szCs w:val="24"/>
              </w:rPr>
            </w:pPr>
          </w:p>
        </w:tc>
        <w:tc>
          <w:tcPr>
            <w:tcW w:w="3342" w:type="dxa"/>
          </w:tcPr>
          <w:p>
            <w:pPr>
              <w:widowControl/>
              <w:shd w:val="clear" w:color="auto" w:fill="FFFFFF"/>
              <w:spacing w:line="360" w:lineRule="auto"/>
              <w:jc w:val="left"/>
              <w:rPr>
                <w:sz w:val="24"/>
                <w:szCs w:val="24"/>
              </w:rPr>
            </w:pPr>
            <w:r>
              <w:rPr>
                <w:rFonts w:hint="eastAsia"/>
                <w:sz w:val="24"/>
                <w:szCs w:val="24"/>
              </w:rPr>
              <w:t>3.</w:t>
            </w:r>
            <w:r>
              <w:rPr>
                <w:rFonts w:ascii="Arial" w:hAnsi="Arial" w:cs="Arial"/>
                <w:color w:val="333333"/>
                <w:kern w:val="0"/>
                <w:sz w:val="24"/>
                <w:szCs w:val="24"/>
              </w:rPr>
              <w:t>落实</w:t>
            </w:r>
            <w:r>
              <w:rPr>
                <w:rFonts w:hint="eastAsia" w:ascii="Arial" w:hAnsi="Arial" w:cs="Arial"/>
                <w:color w:val="333333"/>
                <w:kern w:val="0"/>
                <w:sz w:val="24"/>
                <w:szCs w:val="24"/>
              </w:rPr>
              <w:t>好</w:t>
            </w:r>
            <w:r>
              <w:rPr>
                <w:rFonts w:ascii="Arial" w:hAnsi="Arial" w:cs="Arial"/>
                <w:color w:val="333333"/>
                <w:kern w:val="0"/>
                <w:sz w:val="24"/>
                <w:szCs w:val="24"/>
              </w:rPr>
              <w:t>定向培养直招士官政策</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招生就业处</w:t>
            </w:r>
          </w:p>
        </w:tc>
        <w:tc>
          <w:tcPr>
            <w:tcW w:w="2693" w:type="dxa"/>
          </w:tcPr>
          <w:p>
            <w:pPr>
              <w:rPr>
                <w:sz w:val="24"/>
                <w:szCs w:val="24"/>
              </w:rPr>
            </w:pPr>
            <w:r>
              <w:rPr>
                <w:rFonts w:hint="eastAsia"/>
                <w:sz w:val="24"/>
                <w:szCs w:val="24"/>
              </w:rPr>
              <w:t>教务处、继续教育与培训学院、各二级学院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widowControl/>
              <w:shd w:val="clear" w:color="auto" w:fill="FFFFFF"/>
              <w:spacing w:line="360" w:lineRule="auto"/>
              <w:jc w:val="left"/>
              <w:rPr>
                <w:rFonts w:ascii="Arial" w:hAnsi="Arial" w:cs="Arial"/>
                <w:color w:val="333333"/>
                <w:kern w:val="0"/>
                <w:sz w:val="24"/>
                <w:szCs w:val="24"/>
              </w:rPr>
            </w:pPr>
          </w:p>
        </w:tc>
        <w:tc>
          <w:tcPr>
            <w:tcW w:w="3342" w:type="dxa"/>
          </w:tcPr>
          <w:p>
            <w:pPr>
              <w:widowControl/>
              <w:shd w:val="clear" w:color="auto" w:fill="FFFFFF"/>
              <w:adjustRightInd w:val="0"/>
              <w:snapToGrid w:val="0"/>
              <w:jc w:val="left"/>
              <w:rPr>
                <w:rFonts w:ascii="Arial" w:hAnsi="Arial" w:cs="Arial"/>
                <w:color w:val="333333"/>
                <w:kern w:val="0"/>
                <w:sz w:val="24"/>
                <w:szCs w:val="24"/>
              </w:rPr>
            </w:pPr>
            <w:r>
              <w:rPr>
                <w:rFonts w:hint="eastAsia" w:ascii="Arial" w:hAnsi="Arial" w:cs="Arial"/>
                <w:color w:val="333333"/>
                <w:kern w:val="0"/>
                <w:sz w:val="24"/>
                <w:szCs w:val="24"/>
              </w:rPr>
              <w:t>4.</w:t>
            </w:r>
            <w:r>
              <w:rPr>
                <w:rFonts w:ascii="Arial" w:hAnsi="Arial" w:cs="Arial"/>
                <w:color w:val="333333"/>
                <w:kern w:val="0"/>
                <w:sz w:val="24"/>
                <w:szCs w:val="24"/>
              </w:rPr>
              <w:t>推动地方院校与军队院校有效对接，推动优质职业教育资源向军事人才培养开放，建立军地网络教育资源共享机制</w:t>
            </w:r>
          </w:p>
          <w:p>
            <w:pPr>
              <w:widowControl/>
              <w:shd w:val="clear" w:color="auto" w:fill="FFFFFF"/>
              <w:adjustRightInd w:val="0"/>
              <w:snapToGrid w:val="0"/>
              <w:jc w:val="left"/>
              <w:rPr>
                <w:rFonts w:ascii="Arial" w:hAnsi="Arial" w:cs="Arial"/>
                <w:color w:val="333333"/>
                <w:kern w:val="0"/>
                <w:sz w:val="24"/>
                <w:szCs w:val="24"/>
              </w:rPr>
            </w:pP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教务处</w:t>
            </w:r>
          </w:p>
        </w:tc>
        <w:tc>
          <w:tcPr>
            <w:tcW w:w="2693" w:type="dxa"/>
          </w:tcPr>
          <w:p>
            <w:pPr>
              <w:rPr>
                <w:sz w:val="24"/>
                <w:szCs w:val="24"/>
              </w:rPr>
            </w:pPr>
            <w:r>
              <w:rPr>
                <w:rFonts w:hint="eastAsia"/>
                <w:sz w:val="24"/>
                <w:szCs w:val="24"/>
              </w:rPr>
              <w:t>招生就业处、继续教育与培训学院、各二级学院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widowControl/>
              <w:shd w:val="clear" w:color="auto" w:fill="FFFFFF"/>
              <w:spacing w:line="360" w:lineRule="auto"/>
              <w:jc w:val="left"/>
              <w:rPr>
                <w:rFonts w:ascii="Arial" w:hAnsi="Arial" w:cs="Arial"/>
                <w:color w:val="333333"/>
                <w:kern w:val="0"/>
                <w:sz w:val="24"/>
                <w:szCs w:val="24"/>
              </w:rPr>
            </w:pPr>
          </w:p>
        </w:tc>
        <w:tc>
          <w:tcPr>
            <w:tcW w:w="3342" w:type="dxa"/>
          </w:tcPr>
          <w:p>
            <w:pPr>
              <w:widowControl/>
              <w:shd w:val="clear" w:color="auto" w:fill="FFFFFF"/>
              <w:adjustRightInd w:val="0"/>
              <w:snapToGrid w:val="0"/>
              <w:jc w:val="left"/>
              <w:rPr>
                <w:rFonts w:ascii="Arial" w:hAnsi="Arial" w:cs="Arial"/>
                <w:color w:val="333333"/>
                <w:kern w:val="0"/>
                <w:sz w:val="24"/>
                <w:szCs w:val="24"/>
              </w:rPr>
            </w:pPr>
            <w:r>
              <w:rPr>
                <w:rFonts w:hint="eastAsia"/>
                <w:sz w:val="24"/>
                <w:szCs w:val="24"/>
              </w:rPr>
              <w:t>5.</w:t>
            </w:r>
            <w:r>
              <w:rPr>
                <w:rFonts w:ascii="Arial" w:hAnsi="Arial" w:cs="Arial"/>
                <w:color w:val="333333"/>
                <w:kern w:val="0"/>
                <w:sz w:val="24"/>
                <w:szCs w:val="24"/>
              </w:rPr>
              <w:t xml:space="preserve"> 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pPr>
              <w:adjustRightInd w:val="0"/>
              <w:snapToGrid w:val="0"/>
              <w:rPr>
                <w:sz w:val="24"/>
                <w:szCs w:val="24"/>
              </w:rPr>
            </w:pP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继续教育与培训学院</w:t>
            </w:r>
          </w:p>
        </w:tc>
        <w:tc>
          <w:tcPr>
            <w:tcW w:w="2693" w:type="dxa"/>
          </w:tcPr>
          <w:p>
            <w:pPr>
              <w:rPr>
                <w:sz w:val="24"/>
                <w:szCs w:val="24"/>
              </w:rPr>
            </w:pPr>
            <w:r>
              <w:rPr>
                <w:rFonts w:hint="eastAsia"/>
                <w:sz w:val="24"/>
                <w:szCs w:val="24"/>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Pr>
          <w:p>
            <w:pPr>
              <w:rPr>
                <w:rFonts w:ascii="Arial" w:hAnsi="Arial" w:cs="Arial"/>
                <w:b/>
                <w:color w:val="333333"/>
                <w:kern w:val="0"/>
                <w:sz w:val="24"/>
                <w:szCs w:val="24"/>
              </w:rPr>
            </w:pPr>
          </w:p>
          <w:p>
            <w:pPr>
              <w:rPr>
                <w:rFonts w:ascii="Arial" w:hAnsi="Arial" w:cs="Arial"/>
                <w:b/>
                <w:color w:val="333333"/>
                <w:kern w:val="0"/>
                <w:sz w:val="24"/>
                <w:szCs w:val="24"/>
              </w:rPr>
            </w:pPr>
          </w:p>
          <w:p>
            <w:pPr>
              <w:rPr>
                <w:b/>
                <w:sz w:val="24"/>
                <w:szCs w:val="24"/>
              </w:rPr>
            </w:pPr>
            <w:r>
              <w:rPr>
                <w:rFonts w:ascii="Arial" w:hAnsi="Arial" w:cs="Arial"/>
                <w:b/>
                <w:color w:val="333333"/>
                <w:kern w:val="0"/>
                <w:sz w:val="24"/>
                <w:szCs w:val="24"/>
              </w:rPr>
              <w:t>二、构建职业教育国家标准</w:t>
            </w:r>
          </w:p>
        </w:tc>
        <w:tc>
          <w:tcPr>
            <w:tcW w:w="851" w:type="dxa"/>
            <w:vMerge w:val="restart"/>
          </w:tcPr>
          <w:p>
            <w:pPr>
              <w:rPr>
                <w:sz w:val="24"/>
                <w:szCs w:val="24"/>
              </w:rPr>
            </w:pPr>
            <w:r>
              <w:rPr>
                <w:rFonts w:ascii="Arial" w:hAnsi="Arial" w:cs="Arial"/>
                <w:color w:val="333333"/>
                <w:kern w:val="0"/>
                <w:sz w:val="24"/>
                <w:szCs w:val="24"/>
              </w:rPr>
              <w:t>（五）完善教育教学相关标准</w:t>
            </w:r>
          </w:p>
          <w:p>
            <w:pPr>
              <w:rPr>
                <w:sz w:val="24"/>
                <w:szCs w:val="24"/>
              </w:rPr>
            </w:pPr>
          </w:p>
        </w:tc>
        <w:tc>
          <w:tcPr>
            <w:tcW w:w="3342" w:type="dxa"/>
          </w:tcPr>
          <w:p>
            <w:pPr>
              <w:adjustRightInd w:val="0"/>
              <w:snapToGrid w:val="0"/>
              <w:rPr>
                <w:sz w:val="24"/>
                <w:szCs w:val="24"/>
              </w:rPr>
            </w:pPr>
            <w:r>
              <w:rPr>
                <w:rFonts w:hint="eastAsia"/>
                <w:sz w:val="24"/>
                <w:szCs w:val="24"/>
              </w:rPr>
              <w:t>1.</w:t>
            </w:r>
            <w:r>
              <w:rPr>
                <w:rFonts w:ascii="Arial" w:hAnsi="Arial" w:cs="Arial"/>
                <w:color w:val="333333"/>
                <w:kern w:val="0"/>
                <w:sz w:val="24"/>
                <w:szCs w:val="24"/>
              </w:rPr>
              <w:t>实施教师和校长专业标准，提升职业院校教学管理和教学实践能力</w:t>
            </w:r>
          </w:p>
        </w:tc>
        <w:tc>
          <w:tcPr>
            <w:tcW w:w="2083" w:type="dxa"/>
          </w:tcPr>
          <w:p>
            <w:pPr>
              <w:rPr>
                <w:sz w:val="24"/>
                <w:szCs w:val="24"/>
              </w:rPr>
            </w:pPr>
          </w:p>
        </w:tc>
        <w:tc>
          <w:tcPr>
            <w:tcW w:w="2371" w:type="dxa"/>
          </w:tcPr>
          <w:p>
            <w:pPr>
              <w:rPr>
                <w:sz w:val="24"/>
                <w:szCs w:val="24"/>
              </w:rPr>
            </w:pPr>
          </w:p>
        </w:tc>
        <w:tc>
          <w:tcPr>
            <w:tcW w:w="1276" w:type="dxa"/>
            <w:vMerge w:val="restart"/>
          </w:tcPr>
          <w:p>
            <w:pPr>
              <w:rPr>
                <w:sz w:val="24"/>
                <w:szCs w:val="24"/>
              </w:rPr>
            </w:pPr>
            <w:r>
              <w:rPr>
                <w:rFonts w:hint="eastAsia"/>
                <w:sz w:val="24"/>
                <w:szCs w:val="24"/>
              </w:rPr>
              <w:t>教务处</w:t>
            </w:r>
          </w:p>
        </w:tc>
        <w:tc>
          <w:tcPr>
            <w:tcW w:w="2693" w:type="dxa"/>
          </w:tcPr>
          <w:p>
            <w:pPr>
              <w:rPr>
                <w:sz w:val="24"/>
                <w:szCs w:val="24"/>
              </w:rPr>
            </w:pPr>
            <w:r>
              <w:rPr>
                <w:rFonts w:hint="eastAsia"/>
                <w:sz w:val="24"/>
                <w:szCs w:val="24"/>
              </w:rPr>
              <w:t>人事处、党委组织部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adjustRightInd w:val="0"/>
              <w:snapToGrid w:val="0"/>
              <w:rPr>
                <w:sz w:val="24"/>
                <w:szCs w:val="24"/>
              </w:rPr>
            </w:pPr>
            <w:r>
              <w:rPr>
                <w:rFonts w:hint="eastAsia"/>
                <w:sz w:val="24"/>
                <w:szCs w:val="24"/>
              </w:rPr>
              <w:t>2.</w:t>
            </w:r>
            <w:r>
              <w:rPr>
                <w:rFonts w:ascii="Arial" w:hAnsi="Arial" w:cs="Arial"/>
                <w:color w:val="333333"/>
                <w:kern w:val="0"/>
                <w:sz w:val="24"/>
                <w:szCs w:val="24"/>
              </w:rPr>
              <w:t xml:space="preserve"> 持续更新并推进专业目录、专业教学标准、课程标准、顶岗实习标准、实训条件建设标准（仪器设备配备规范）建设和在职业院校落地实施</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restart"/>
          </w:tcPr>
          <w:p>
            <w:pPr>
              <w:rPr>
                <w:rFonts w:ascii="Arial" w:hAnsi="Arial" w:cs="Arial"/>
                <w:color w:val="333333"/>
                <w:kern w:val="0"/>
                <w:sz w:val="24"/>
                <w:szCs w:val="24"/>
              </w:rPr>
            </w:pPr>
            <w:r>
              <w:rPr>
                <w:rFonts w:ascii="Arial" w:hAnsi="Arial" w:cs="Arial"/>
                <w:color w:val="333333"/>
                <w:kern w:val="0"/>
                <w:sz w:val="24"/>
                <w:szCs w:val="24"/>
              </w:rPr>
              <w:t>（六）启动1+X证书制度试点工作</w:t>
            </w:r>
          </w:p>
          <w:p>
            <w:pPr>
              <w:rPr>
                <w:sz w:val="24"/>
                <w:szCs w:val="24"/>
              </w:rPr>
            </w:pPr>
          </w:p>
        </w:tc>
        <w:tc>
          <w:tcPr>
            <w:tcW w:w="3342" w:type="dxa"/>
          </w:tcPr>
          <w:p>
            <w:pPr>
              <w:adjustRightInd w:val="0"/>
              <w:snapToGrid w:val="0"/>
              <w:rPr>
                <w:sz w:val="24"/>
                <w:szCs w:val="24"/>
              </w:rPr>
            </w:pPr>
            <w:r>
              <w:rPr>
                <w:rFonts w:hint="eastAsia"/>
                <w:sz w:val="24"/>
                <w:szCs w:val="24"/>
              </w:rPr>
              <w:t>1、</w:t>
            </w:r>
            <w:r>
              <w:rPr>
                <w:rFonts w:ascii="Arial" w:hAnsi="Arial" w:cs="Arial"/>
                <w:color w:val="333333"/>
                <w:kern w:val="0"/>
                <w:sz w:val="24"/>
                <w:szCs w:val="24"/>
              </w:rPr>
              <w:t>深化复合型技术技能人才培养培训模式改革，借鉴国际职业教育培训普遍做法，制订工作方案和具体管理办法</w:t>
            </w:r>
            <w:r>
              <w:rPr>
                <w:rFonts w:hint="eastAsia" w:ascii="Arial" w:hAnsi="Arial" w:cs="Arial"/>
                <w:color w:val="333333"/>
                <w:kern w:val="0"/>
                <w:sz w:val="24"/>
                <w:szCs w:val="24"/>
              </w:rPr>
              <w:t>。</w:t>
            </w:r>
          </w:p>
        </w:tc>
        <w:tc>
          <w:tcPr>
            <w:tcW w:w="2083" w:type="dxa"/>
          </w:tcPr>
          <w:p>
            <w:pPr>
              <w:rPr>
                <w:sz w:val="24"/>
                <w:szCs w:val="24"/>
              </w:rPr>
            </w:pPr>
          </w:p>
        </w:tc>
        <w:tc>
          <w:tcPr>
            <w:tcW w:w="2371" w:type="dxa"/>
          </w:tcPr>
          <w:p>
            <w:pPr>
              <w:rPr>
                <w:sz w:val="24"/>
                <w:szCs w:val="24"/>
              </w:rPr>
            </w:pPr>
          </w:p>
        </w:tc>
        <w:tc>
          <w:tcPr>
            <w:tcW w:w="1276" w:type="dxa"/>
            <w:vMerge w:val="restart"/>
          </w:tcPr>
          <w:p>
            <w:pPr>
              <w:rPr>
                <w:sz w:val="24"/>
                <w:szCs w:val="24"/>
              </w:rPr>
            </w:pPr>
            <w:r>
              <w:rPr>
                <w:rFonts w:hint="eastAsia"/>
                <w:sz w:val="24"/>
                <w:szCs w:val="24"/>
              </w:rPr>
              <w:t>教务处</w:t>
            </w:r>
          </w:p>
          <w:p>
            <w:pPr>
              <w:rPr>
                <w:sz w:val="24"/>
                <w:szCs w:val="24"/>
              </w:rPr>
            </w:pPr>
          </w:p>
        </w:tc>
        <w:tc>
          <w:tcPr>
            <w:tcW w:w="2693" w:type="dxa"/>
          </w:tcPr>
          <w:p>
            <w:pPr>
              <w:rPr>
                <w:sz w:val="24"/>
                <w:szCs w:val="24"/>
              </w:rPr>
            </w:pPr>
            <w:r>
              <w:rPr>
                <w:rFonts w:hint="eastAsia"/>
                <w:sz w:val="24"/>
                <w:szCs w:val="24"/>
              </w:rPr>
              <w:t>继续教育与培训学院、各二级学院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adjustRightInd w:val="0"/>
              <w:snapToGrid w:val="0"/>
              <w:rPr>
                <w:sz w:val="24"/>
                <w:szCs w:val="24"/>
              </w:rPr>
            </w:pPr>
            <w:r>
              <w:rPr>
                <w:rFonts w:hint="eastAsia"/>
                <w:sz w:val="24"/>
                <w:szCs w:val="24"/>
              </w:rPr>
              <w:t>2、</w:t>
            </w:r>
            <w:r>
              <w:rPr>
                <w:rFonts w:ascii="Arial" w:hAnsi="Arial" w:cs="Arial"/>
                <w:color w:val="333333"/>
                <w:kern w:val="0"/>
                <w:sz w:val="24"/>
                <w:szCs w:val="24"/>
              </w:rPr>
              <w:t>试点工作要进一步发挥好学历证书作用，夯实学生可持续发展基础，鼓励职业院校学生在获得学历证书的同时，积极取得多类职业技能等级证书，拓展就业创业本领，缓解结构性就业矛盾</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继续教育与培训学院、各二级学院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widowControl/>
              <w:shd w:val="clear" w:color="auto" w:fill="FFFFFF"/>
              <w:adjustRightInd w:val="0"/>
              <w:snapToGrid w:val="0"/>
              <w:jc w:val="left"/>
              <w:rPr>
                <w:rFonts w:ascii="Arial" w:hAnsi="Arial" w:cs="Arial"/>
                <w:color w:val="333333"/>
                <w:kern w:val="0"/>
                <w:sz w:val="24"/>
                <w:szCs w:val="24"/>
              </w:rPr>
            </w:pPr>
            <w:r>
              <w:rPr>
                <w:rFonts w:hint="eastAsia"/>
                <w:sz w:val="24"/>
                <w:szCs w:val="24"/>
              </w:rPr>
              <w:t>3、</w:t>
            </w:r>
            <w:r>
              <w:rPr>
                <w:rFonts w:ascii="Arial" w:hAnsi="Arial" w:cs="Arial"/>
                <w:color w:val="333333"/>
                <w:kern w:val="0"/>
                <w:sz w:val="24"/>
                <w:szCs w:val="24"/>
              </w:rPr>
              <w:t>院校内实施的职业技能等级证书分为初级、中级、高级，是职业技能水平的凭证，反映职业活动和个人职业生涯发展所需要的综合能力。</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教务处</w:t>
            </w: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restart"/>
          </w:tcPr>
          <w:p>
            <w:pPr>
              <w:rPr>
                <w:rFonts w:ascii="Arial" w:hAnsi="Arial" w:cs="Arial"/>
                <w:color w:val="333333"/>
                <w:kern w:val="0"/>
                <w:sz w:val="24"/>
                <w:szCs w:val="24"/>
              </w:rPr>
            </w:pPr>
            <w:r>
              <w:rPr>
                <w:rFonts w:ascii="Arial" w:hAnsi="Arial" w:cs="Arial"/>
                <w:color w:val="333333"/>
                <w:kern w:val="0"/>
                <w:sz w:val="24"/>
                <w:szCs w:val="24"/>
              </w:rPr>
              <w:t>（七）开</w:t>
            </w:r>
          </w:p>
          <w:p>
            <w:pPr>
              <w:rPr>
                <w:rFonts w:ascii="Arial" w:hAnsi="Arial" w:cs="Arial"/>
                <w:color w:val="333333"/>
                <w:kern w:val="0"/>
                <w:sz w:val="24"/>
                <w:szCs w:val="24"/>
              </w:rPr>
            </w:pPr>
            <w:r>
              <w:rPr>
                <w:rFonts w:ascii="Arial" w:hAnsi="Arial" w:cs="Arial"/>
                <w:color w:val="333333"/>
                <w:kern w:val="0"/>
                <w:sz w:val="24"/>
                <w:szCs w:val="24"/>
              </w:rPr>
              <w:t>展</w:t>
            </w:r>
          </w:p>
          <w:p>
            <w:pPr>
              <w:rPr>
                <w:rFonts w:ascii="Arial" w:hAnsi="Arial" w:cs="Arial"/>
                <w:color w:val="333333"/>
                <w:kern w:val="0"/>
                <w:sz w:val="24"/>
                <w:szCs w:val="24"/>
              </w:rPr>
            </w:pPr>
            <w:r>
              <w:rPr>
                <w:rFonts w:ascii="Arial" w:hAnsi="Arial" w:cs="Arial"/>
                <w:color w:val="333333"/>
                <w:kern w:val="0"/>
                <w:sz w:val="24"/>
                <w:szCs w:val="24"/>
              </w:rPr>
              <w:t>高</w:t>
            </w:r>
          </w:p>
          <w:p>
            <w:pPr>
              <w:rPr>
                <w:rFonts w:ascii="Arial" w:hAnsi="Arial" w:cs="Arial"/>
                <w:color w:val="333333"/>
                <w:kern w:val="0"/>
                <w:sz w:val="24"/>
                <w:szCs w:val="24"/>
              </w:rPr>
            </w:pPr>
            <w:r>
              <w:rPr>
                <w:rFonts w:ascii="Arial" w:hAnsi="Arial" w:cs="Arial"/>
                <w:color w:val="333333"/>
                <w:kern w:val="0"/>
                <w:sz w:val="24"/>
                <w:szCs w:val="24"/>
              </w:rPr>
              <w:t>质</w:t>
            </w:r>
          </w:p>
          <w:p>
            <w:pPr>
              <w:rPr>
                <w:rFonts w:ascii="Arial" w:hAnsi="Arial" w:cs="Arial"/>
                <w:color w:val="333333"/>
                <w:kern w:val="0"/>
                <w:sz w:val="24"/>
                <w:szCs w:val="24"/>
              </w:rPr>
            </w:pPr>
            <w:r>
              <w:rPr>
                <w:rFonts w:ascii="Arial" w:hAnsi="Arial" w:cs="Arial"/>
                <w:color w:val="333333"/>
                <w:kern w:val="0"/>
                <w:sz w:val="24"/>
                <w:szCs w:val="24"/>
              </w:rPr>
              <w:t>量</w:t>
            </w:r>
          </w:p>
          <w:p>
            <w:pPr>
              <w:rPr>
                <w:rFonts w:ascii="Arial" w:hAnsi="Arial" w:cs="Arial"/>
                <w:color w:val="333333"/>
                <w:kern w:val="0"/>
                <w:sz w:val="24"/>
                <w:szCs w:val="24"/>
              </w:rPr>
            </w:pPr>
            <w:r>
              <w:rPr>
                <w:rFonts w:ascii="Arial" w:hAnsi="Arial" w:cs="Arial"/>
                <w:color w:val="333333"/>
                <w:kern w:val="0"/>
                <w:sz w:val="24"/>
                <w:szCs w:val="24"/>
              </w:rPr>
              <w:t>职</w:t>
            </w:r>
          </w:p>
          <w:p>
            <w:pPr>
              <w:rPr>
                <w:rFonts w:ascii="Arial" w:hAnsi="Arial" w:cs="Arial"/>
                <w:color w:val="333333"/>
                <w:kern w:val="0"/>
                <w:sz w:val="24"/>
                <w:szCs w:val="24"/>
              </w:rPr>
            </w:pPr>
            <w:r>
              <w:rPr>
                <w:rFonts w:ascii="Arial" w:hAnsi="Arial" w:cs="Arial"/>
                <w:color w:val="333333"/>
                <w:kern w:val="0"/>
                <w:sz w:val="24"/>
                <w:szCs w:val="24"/>
              </w:rPr>
              <w:t>业</w:t>
            </w:r>
          </w:p>
          <w:p>
            <w:pPr>
              <w:rPr>
                <w:rFonts w:ascii="Arial" w:hAnsi="Arial" w:cs="Arial"/>
                <w:color w:val="333333"/>
                <w:kern w:val="0"/>
                <w:sz w:val="24"/>
                <w:szCs w:val="24"/>
              </w:rPr>
            </w:pPr>
            <w:r>
              <w:rPr>
                <w:rFonts w:ascii="Arial" w:hAnsi="Arial" w:cs="Arial"/>
                <w:color w:val="333333"/>
                <w:kern w:val="0"/>
                <w:sz w:val="24"/>
                <w:szCs w:val="24"/>
              </w:rPr>
              <w:t>培</w:t>
            </w:r>
          </w:p>
          <w:p>
            <w:pPr>
              <w:rPr>
                <w:rFonts w:ascii="Arial" w:hAnsi="Arial" w:cs="Arial"/>
                <w:color w:val="333333"/>
                <w:kern w:val="0"/>
                <w:sz w:val="24"/>
                <w:szCs w:val="24"/>
              </w:rPr>
            </w:pPr>
            <w:r>
              <w:rPr>
                <w:rFonts w:ascii="Arial" w:hAnsi="Arial" w:cs="Arial"/>
                <w:color w:val="333333"/>
                <w:kern w:val="0"/>
                <w:sz w:val="24"/>
                <w:szCs w:val="24"/>
              </w:rPr>
              <w:t>训</w:t>
            </w:r>
          </w:p>
        </w:tc>
        <w:tc>
          <w:tcPr>
            <w:tcW w:w="3342" w:type="dxa"/>
          </w:tcPr>
          <w:p>
            <w:pPr>
              <w:rPr>
                <w:rFonts w:ascii="Arial" w:hAnsi="Arial" w:cs="Arial"/>
                <w:color w:val="333333"/>
                <w:kern w:val="0"/>
                <w:sz w:val="24"/>
                <w:szCs w:val="24"/>
              </w:rPr>
            </w:pPr>
            <w:r>
              <w:rPr>
                <w:rFonts w:hint="eastAsia"/>
                <w:sz w:val="24"/>
                <w:szCs w:val="24"/>
              </w:rPr>
              <w:t>1、</w:t>
            </w:r>
            <w:r>
              <w:rPr>
                <w:rFonts w:ascii="Arial" w:hAnsi="Arial" w:cs="Arial"/>
                <w:color w:val="333333"/>
                <w:kern w:val="0"/>
                <w:sz w:val="24"/>
                <w:szCs w:val="24"/>
              </w:rPr>
              <w:t>落实职业院校实施学历教育与培训并举的法定职责，按照育训结合、长短结合、内外结合的要求，面向在校学生和全体社会成员开展职业培训</w:t>
            </w:r>
          </w:p>
        </w:tc>
        <w:tc>
          <w:tcPr>
            <w:tcW w:w="2083" w:type="dxa"/>
          </w:tcPr>
          <w:p>
            <w:pPr>
              <w:rPr>
                <w:sz w:val="24"/>
                <w:szCs w:val="24"/>
              </w:rPr>
            </w:pPr>
          </w:p>
        </w:tc>
        <w:tc>
          <w:tcPr>
            <w:tcW w:w="2371" w:type="dxa"/>
          </w:tcPr>
          <w:p>
            <w:pPr>
              <w:rPr>
                <w:sz w:val="24"/>
                <w:szCs w:val="24"/>
              </w:rPr>
            </w:pPr>
          </w:p>
        </w:tc>
        <w:tc>
          <w:tcPr>
            <w:tcW w:w="1276" w:type="dxa"/>
            <w:vMerge w:val="restart"/>
          </w:tcPr>
          <w:p>
            <w:pPr>
              <w:rPr>
                <w:sz w:val="24"/>
                <w:szCs w:val="24"/>
              </w:rPr>
            </w:pPr>
            <w:r>
              <w:rPr>
                <w:rFonts w:hint="eastAsia"/>
                <w:sz w:val="24"/>
                <w:szCs w:val="24"/>
              </w:rPr>
              <w:t>继</w:t>
            </w:r>
          </w:p>
          <w:p>
            <w:pPr>
              <w:rPr>
                <w:sz w:val="24"/>
                <w:szCs w:val="24"/>
              </w:rPr>
            </w:pPr>
          </w:p>
          <w:p>
            <w:pPr>
              <w:rPr>
                <w:sz w:val="24"/>
                <w:szCs w:val="24"/>
              </w:rPr>
            </w:pPr>
            <w:r>
              <w:rPr>
                <w:rFonts w:hint="eastAsia"/>
                <w:sz w:val="24"/>
                <w:szCs w:val="24"/>
              </w:rPr>
              <w:t>续</w:t>
            </w:r>
          </w:p>
          <w:p>
            <w:pPr>
              <w:rPr>
                <w:sz w:val="24"/>
                <w:szCs w:val="24"/>
              </w:rPr>
            </w:pPr>
          </w:p>
          <w:p>
            <w:pPr>
              <w:rPr>
                <w:sz w:val="24"/>
                <w:szCs w:val="24"/>
              </w:rPr>
            </w:pPr>
            <w:r>
              <w:rPr>
                <w:rFonts w:hint="eastAsia"/>
                <w:sz w:val="24"/>
                <w:szCs w:val="24"/>
              </w:rPr>
              <w:t>教</w:t>
            </w:r>
          </w:p>
          <w:p>
            <w:pPr>
              <w:rPr>
                <w:sz w:val="24"/>
                <w:szCs w:val="24"/>
              </w:rPr>
            </w:pPr>
          </w:p>
          <w:p>
            <w:pPr>
              <w:rPr>
                <w:sz w:val="24"/>
                <w:szCs w:val="24"/>
              </w:rPr>
            </w:pPr>
            <w:r>
              <w:rPr>
                <w:rFonts w:hint="eastAsia"/>
                <w:sz w:val="24"/>
                <w:szCs w:val="24"/>
              </w:rPr>
              <w:t>育</w:t>
            </w:r>
          </w:p>
          <w:p>
            <w:pPr>
              <w:rPr>
                <w:sz w:val="24"/>
                <w:szCs w:val="24"/>
              </w:rPr>
            </w:pPr>
          </w:p>
          <w:p>
            <w:pPr>
              <w:rPr>
                <w:sz w:val="24"/>
                <w:szCs w:val="24"/>
              </w:rPr>
            </w:pPr>
            <w:r>
              <w:rPr>
                <w:rFonts w:hint="eastAsia"/>
                <w:sz w:val="24"/>
                <w:szCs w:val="24"/>
              </w:rPr>
              <w:t>与</w:t>
            </w:r>
          </w:p>
          <w:p>
            <w:pPr>
              <w:rPr>
                <w:sz w:val="24"/>
                <w:szCs w:val="24"/>
              </w:rPr>
            </w:pPr>
          </w:p>
          <w:p>
            <w:pPr>
              <w:rPr>
                <w:sz w:val="24"/>
                <w:szCs w:val="24"/>
              </w:rPr>
            </w:pPr>
            <w:r>
              <w:rPr>
                <w:rFonts w:hint="eastAsia"/>
                <w:sz w:val="24"/>
                <w:szCs w:val="24"/>
              </w:rPr>
              <w:t>培</w:t>
            </w:r>
          </w:p>
          <w:p>
            <w:pPr>
              <w:rPr>
                <w:sz w:val="24"/>
                <w:szCs w:val="24"/>
              </w:rPr>
            </w:pPr>
          </w:p>
          <w:p>
            <w:pPr>
              <w:rPr>
                <w:sz w:val="24"/>
                <w:szCs w:val="24"/>
              </w:rPr>
            </w:pPr>
            <w:r>
              <w:rPr>
                <w:rFonts w:hint="eastAsia"/>
                <w:sz w:val="24"/>
                <w:szCs w:val="24"/>
              </w:rPr>
              <w:t>训</w:t>
            </w:r>
          </w:p>
          <w:p>
            <w:pPr>
              <w:rPr>
                <w:sz w:val="24"/>
                <w:szCs w:val="24"/>
              </w:rPr>
            </w:pPr>
          </w:p>
          <w:p>
            <w:pPr>
              <w:rPr>
                <w:sz w:val="24"/>
                <w:szCs w:val="24"/>
              </w:rPr>
            </w:pPr>
            <w:r>
              <w:rPr>
                <w:rFonts w:hint="eastAsia"/>
                <w:sz w:val="24"/>
                <w:szCs w:val="24"/>
              </w:rPr>
              <w:t>学</w:t>
            </w:r>
          </w:p>
          <w:p>
            <w:pPr>
              <w:rPr>
                <w:sz w:val="24"/>
                <w:szCs w:val="24"/>
              </w:rPr>
            </w:pPr>
          </w:p>
          <w:p>
            <w:pPr>
              <w:rPr>
                <w:sz w:val="24"/>
                <w:szCs w:val="24"/>
              </w:rPr>
            </w:pPr>
            <w:r>
              <w:rPr>
                <w:rFonts w:hint="eastAsia"/>
                <w:sz w:val="24"/>
                <w:szCs w:val="24"/>
              </w:rPr>
              <w:t>院</w:t>
            </w:r>
          </w:p>
          <w:p>
            <w:pPr>
              <w:rPr>
                <w:sz w:val="24"/>
                <w:szCs w:val="24"/>
              </w:rPr>
            </w:pPr>
          </w:p>
        </w:tc>
        <w:tc>
          <w:tcPr>
            <w:tcW w:w="2693" w:type="dxa"/>
          </w:tcPr>
          <w:p>
            <w:pPr>
              <w:jc w:val="cente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rPr>
                <w:sz w:val="24"/>
                <w:szCs w:val="24"/>
              </w:rPr>
            </w:pPr>
            <w:r>
              <w:rPr>
                <w:rFonts w:hint="eastAsia" w:ascii="Arial" w:hAnsi="Arial" w:cs="Arial"/>
                <w:color w:val="333333"/>
                <w:kern w:val="0"/>
                <w:sz w:val="24"/>
                <w:szCs w:val="24"/>
              </w:rPr>
              <w:t>2、</w:t>
            </w:r>
            <w:r>
              <w:rPr>
                <w:rFonts w:ascii="Arial" w:hAnsi="Arial" w:cs="Arial"/>
                <w:color w:val="333333"/>
                <w:kern w:val="0"/>
                <w:sz w:val="24"/>
                <w:szCs w:val="24"/>
              </w:rPr>
              <w:t>自2019年开始，围绕现代农业、先进制造业、现代服务业、战略性新兴产业，推动职业院校在10个左右技术技能人才紧缺领域大力开展职业培训</w:t>
            </w:r>
            <w:r>
              <w:rPr>
                <w:rFonts w:hint="eastAsia" w:ascii="Arial" w:hAnsi="Arial" w:cs="Arial"/>
                <w:color w:val="333333"/>
                <w:kern w:val="0"/>
                <w:sz w:val="24"/>
                <w:szCs w:val="24"/>
              </w:rPr>
              <w:t>。</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jc w:val="cente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rPr>
                <w:rFonts w:ascii="Arial" w:hAnsi="Arial" w:cs="Arial"/>
                <w:color w:val="333333"/>
                <w:kern w:val="0"/>
                <w:sz w:val="24"/>
                <w:szCs w:val="24"/>
              </w:rPr>
            </w:pPr>
            <w:r>
              <w:rPr>
                <w:rFonts w:hint="eastAsia" w:ascii="Arial" w:hAnsi="Arial" w:cs="Arial"/>
                <w:color w:val="333333"/>
                <w:kern w:val="0"/>
                <w:sz w:val="24"/>
                <w:szCs w:val="24"/>
              </w:rPr>
              <w:t>3、</w:t>
            </w:r>
            <w:r>
              <w:rPr>
                <w:rFonts w:ascii="Arial" w:hAnsi="Arial" w:cs="Arial"/>
                <w:color w:val="333333"/>
                <w:kern w:val="0"/>
                <w:sz w:val="24"/>
                <w:szCs w:val="24"/>
              </w:rPr>
              <w:t>引导行业企业深度参与技术技能人才培养培训，促进职业院校加强专业建设、深化课程改革、增强实训内容、提高师资水平，全面提升教育教学质量</w:t>
            </w:r>
            <w:r>
              <w:rPr>
                <w:rFonts w:hint="eastAsia" w:ascii="Arial" w:hAnsi="Arial" w:cs="Arial"/>
                <w:color w:val="333333"/>
                <w:kern w:val="0"/>
                <w:sz w:val="24"/>
                <w:szCs w:val="24"/>
              </w:rPr>
              <w:t>。</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numPr>
                <w:ilvl w:val="0"/>
                <w:numId w:val="1"/>
              </w:numPr>
              <w:rPr>
                <w:rFonts w:ascii="Arial" w:hAnsi="Arial" w:cs="Arial"/>
                <w:color w:val="333333"/>
                <w:kern w:val="0"/>
                <w:sz w:val="24"/>
                <w:szCs w:val="24"/>
              </w:rPr>
            </w:pPr>
            <w:r>
              <w:rPr>
                <w:rFonts w:ascii="Arial" w:hAnsi="Arial" w:cs="Arial"/>
                <w:color w:val="333333"/>
                <w:kern w:val="0"/>
                <w:sz w:val="24"/>
                <w:szCs w:val="24"/>
              </w:rPr>
              <w:t>畅通技术技能人才职业发展通道，鼓励其持续获得适应经济社会发展需要的职业培训证书，引导和支持企业等用人单位落实相关待遇</w:t>
            </w:r>
            <w:r>
              <w:rPr>
                <w:rFonts w:hint="eastAsia" w:ascii="Arial" w:hAnsi="Arial" w:cs="Arial"/>
                <w:color w:val="333333"/>
                <w:kern w:val="0"/>
                <w:sz w:val="24"/>
                <w:szCs w:val="24"/>
              </w:rPr>
              <w:t>。</w:t>
            </w:r>
          </w:p>
          <w:p>
            <w:pPr>
              <w:rPr>
                <w:rFonts w:ascii="Arial" w:hAnsi="Arial" w:cs="Arial"/>
                <w:color w:val="333333"/>
                <w:kern w:val="0"/>
                <w:sz w:val="24"/>
                <w:szCs w:val="24"/>
              </w:rPr>
            </w:pP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widowControl/>
              <w:shd w:val="clear" w:color="auto" w:fill="FFFFFF"/>
              <w:adjustRightInd w:val="0"/>
              <w:snapToGrid w:val="0"/>
              <w:jc w:val="left"/>
              <w:rPr>
                <w:rFonts w:ascii="Arial" w:hAnsi="Arial" w:cs="Arial"/>
                <w:color w:val="333333"/>
                <w:kern w:val="0"/>
                <w:sz w:val="24"/>
                <w:szCs w:val="24"/>
              </w:rPr>
            </w:pPr>
            <w:r>
              <w:rPr>
                <w:rFonts w:hint="eastAsia" w:ascii="Arial" w:hAnsi="Arial" w:cs="Arial"/>
                <w:color w:val="333333"/>
                <w:kern w:val="0"/>
                <w:sz w:val="24"/>
                <w:szCs w:val="24"/>
              </w:rPr>
              <w:t>5、</w:t>
            </w:r>
            <w:r>
              <w:rPr>
                <w:rFonts w:ascii="Arial" w:hAnsi="Arial" w:cs="Arial"/>
                <w:color w:val="333333"/>
                <w:kern w:val="0"/>
                <w:sz w:val="24"/>
                <w:szCs w:val="24"/>
              </w:rPr>
              <w:t>对取得职业技能等级证书的离校未就业高校毕业生，按规定落实职业培训补贴政策。</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招生就业处</w:t>
            </w:r>
          </w:p>
        </w:tc>
        <w:tc>
          <w:tcPr>
            <w:tcW w:w="2693" w:type="dxa"/>
          </w:tcPr>
          <w:p>
            <w:pPr>
              <w:rPr>
                <w:sz w:val="24"/>
                <w:szCs w:val="24"/>
              </w:rPr>
            </w:pPr>
            <w:r>
              <w:rPr>
                <w:rFonts w:hint="eastAsia"/>
                <w:sz w:val="24"/>
                <w:szCs w:val="24"/>
              </w:rPr>
              <w:t>继续教育与培训学院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675" w:type="dxa"/>
            <w:vMerge w:val="continue"/>
          </w:tcPr>
          <w:p>
            <w:pPr>
              <w:rPr>
                <w:sz w:val="24"/>
                <w:szCs w:val="24"/>
              </w:rPr>
            </w:pPr>
          </w:p>
        </w:tc>
        <w:tc>
          <w:tcPr>
            <w:tcW w:w="851" w:type="dxa"/>
            <w:vMerge w:val="restart"/>
          </w:tcPr>
          <w:p>
            <w:pPr>
              <w:rPr>
                <w:rFonts w:ascii="Arial" w:hAnsi="Arial" w:cs="Arial"/>
                <w:color w:val="333333"/>
                <w:kern w:val="0"/>
                <w:sz w:val="24"/>
                <w:szCs w:val="24"/>
              </w:rPr>
            </w:pPr>
            <w:r>
              <w:rPr>
                <w:rFonts w:hint="eastAsia" w:ascii="Arial" w:hAnsi="Arial" w:cs="Arial"/>
                <w:color w:val="333333"/>
                <w:kern w:val="0"/>
                <w:sz w:val="24"/>
                <w:szCs w:val="24"/>
              </w:rPr>
              <w:t>（八）实</w:t>
            </w:r>
          </w:p>
          <w:p>
            <w:pPr>
              <w:rPr>
                <w:rFonts w:ascii="Arial" w:hAnsi="Arial" w:cs="Arial"/>
                <w:color w:val="333333"/>
                <w:kern w:val="0"/>
                <w:sz w:val="24"/>
                <w:szCs w:val="24"/>
              </w:rPr>
            </w:pPr>
            <w:r>
              <w:rPr>
                <w:rFonts w:hint="eastAsia" w:ascii="Arial" w:hAnsi="Arial" w:cs="Arial"/>
                <w:color w:val="333333"/>
                <w:kern w:val="0"/>
                <w:sz w:val="24"/>
                <w:szCs w:val="24"/>
              </w:rPr>
              <w:t>现</w:t>
            </w:r>
          </w:p>
          <w:p>
            <w:pPr>
              <w:rPr>
                <w:rFonts w:ascii="Arial" w:hAnsi="Arial" w:cs="Arial"/>
                <w:color w:val="333333"/>
                <w:kern w:val="0"/>
                <w:sz w:val="24"/>
                <w:szCs w:val="24"/>
              </w:rPr>
            </w:pPr>
            <w:r>
              <w:rPr>
                <w:rFonts w:hint="eastAsia" w:ascii="Arial" w:hAnsi="Arial" w:cs="Arial"/>
                <w:color w:val="333333"/>
                <w:kern w:val="0"/>
                <w:sz w:val="24"/>
                <w:szCs w:val="24"/>
              </w:rPr>
              <w:t>学</w:t>
            </w:r>
          </w:p>
          <w:p>
            <w:pPr>
              <w:rPr>
                <w:rFonts w:ascii="Arial" w:hAnsi="Arial" w:cs="Arial"/>
                <w:color w:val="333333"/>
                <w:kern w:val="0"/>
                <w:sz w:val="24"/>
                <w:szCs w:val="24"/>
              </w:rPr>
            </w:pPr>
            <w:r>
              <w:rPr>
                <w:rFonts w:hint="eastAsia" w:ascii="Arial" w:hAnsi="Arial" w:cs="Arial"/>
                <w:color w:val="333333"/>
                <w:kern w:val="0"/>
                <w:sz w:val="24"/>
                <w:szCs w:val="24"/>
              </w:rPr>
              <w:t>习</w:t>
            </w:r>
          </w:p>
          <w:p>
            <w:pPr>
              <w:rPr>
                <w:rFonts w:ascii="Arial" w:hAnsi="Arial" w:cs="Arial"/>
                <w:color w:val="333333"/>
                <w:kern w:val="0"/>
                <w:sz w:val="24"/>
                <w:szCs w:val="24"/>
              </w:rPr>
            </w:pPr>
            <w:r>
              <w:rPr>
                <w:rFonts w:hint="eastAsia" w:ascii="Arial" w:hAnsi="Arial" w:cs="Arial"/>
                <w:color w:val="333333"/>
                <w:kern w:val="0"/>
                <w:sz w:val="24"/>
                <w:szCs w:val="24"/>
              </w:rPr>
              <w:t>成</w:t>
            </w:r>
          </w:p>
          <w:p>
            <w:pPr>
              <w:rPr>
                <w:rFonts w:ascii="Arial" w:hAnsi="Arial" w:cs="Arial"/>
                <w:color w:val="333333"/>
                <w:kern w:val="0"/>
                <w:sz w:val="24"/>
                <w:szCs w:val="24"/>
              </w:rPr>
            </w:pPr>
            <w:r>
              <w:rPr>
                <w:rFonts w:hint="eastAsia" w:ascii="Arial" w:hAnsi="Arial" w:cs="Arial"/>
                <w:color w:val="333333"/>
                <w:kern w:val="0"/>
                <w:sz w:val="24"/>
                <w:szCs w:val="24"/>
              </w:rPr>
              <w:t>果</w:t>
            </w:r>
          </w:p>
          <w:p>
            <w:pPr>
              <w:rPr>
                <w:rFonts w:ascii="Arial" w:hAnsi="Arial" w:cs="Arial"/>
                <w:color w:val="333333"/>
                <w:kern w:val="0"/>
                <w:sz w:val="24"/>
                <w:szCs w:val="24"/>
              </w:rPr>
            </w:pPr>
            <w:r>
              <w:rPr>
                <w:rFonts w:hint="eastAsia" w:ascii="Arial" w:hAnsi="Arial" w:cs="Arial"/>
                <w:color w:val="333333"/>
                <w:kern w:val="0"/>
                <w:sz w:val="24"/>
                <w:szCs w:val="24"/>
              </w:rPr>
              <w:t>的</w:t>
            </w:r>
          </w:p>
          <w:p>
            <w:pPr>
              <w:rPr>
                <w:rFonts w:ascii="Arial" w:hAnsi="Arial" w:cs="Arial"/>
                <w:color w:val="333333"/>
                <w:kern w:val="0"/>
                <w:sz w:val="24"/>
                <w:szCs w:val="24"/>
              </w:rPr>
            </w:pPr>
            <w:r>
              <w:rPr>
                <w:rFonts w:hint="eastAsia" w:ascii="Arial" w:hAnsi="Arial" w:cs="Arial"/>
                <w:color w:val="333333"/>
                <w:kern w:val="0"/>
                <w:sz w:val="24"/>
                <w:szCs w:val="24"/>
              </w:rPr>
              <w:t>认</w:t>
            </w:r>
          </w:p>
          <w:p>
            <w:pPr>
              <w:rPr>
                <w:rFonts w:ascii="Arial" w:hAnsi="Arial" w:cs="Arial"/>
                <w:color w:val="333333"/>
                <w:kern w:val="0"/>
                <w:sz w:val="24"/>
                <w:szCs w:val="24"/>
              </w:rPr>
            </w:pPr>
            <w:r>
              <w:rPr>
                <w:rFonts w:hint="eastAsia" w:ascii="Arial" w:hAnsi="Arial" w:cs="Arial"/>
                <w:color w:val="333333"/>
                <w:kern w:val="0"/>
                <w:sz w:val="24"/>
                <w:szCs w:val="24"/>
              </w:rPr>
              <w:t>定</w:t>
            </w:r>
          </w:p>
          <w:p>
            <w:pPr>
              <w:rPr>
                <w:rFonts w:ascii="Arial" w:hAnsi="Arial" w:cs="Arial"/>
                <w:color w:val="333333"/>
                <w:kern w:val="0"/>
                <w:sz w:val="24"/>
                <w:szCs w:val="24"/>
              </w:rPr>
            </w:pPr>
            <w:r>
              <w:rPr>
                <w:rFonts w:hint="eastAsia" w:ascii="Arial" w:hAnsi="Arial" w:cs="Arial"/>
                <w:color w:val="333333"/>
                <w:kern w:val="0"/>
                <w:sz w:val="24"/>
                <w:szCs w:val="24"/>
              </w:rPr>
              <w:t>、</w:t>
            </w:r>
          </w:p>
          <w:p>
            <w:pPr>
              <w:rPr>
                <w:rFonts w:ascii="Arial" w:hAnsi="Arial" w:cs="Arial"/>
                <w:color w:val="333333"/>
                <w:kern w:val="0"/>
                <w:sz w:val="24"/>
                <w:szCs w:val="24"/>
              </w:rPr>
            </w:pPr>
            <w:r>
              <w:rPr>
                <w:rFonts w:hint="eastAsia" w:ascii="Arial" w:hAnsi="Arial" w:cs="Arial"/>
                <w:color w:val="333333"/>
                <w:kern w:val="0"/>
                <w:sz w:val="24"/>
                <w:szCs w:val="24"/>
              </w:rPr>
              <w:t>积</w:t>
            </w:r>
          </w:p>
          <w:p>
            <w:pPr>
              <w:rPr>
                <w:rFonts w:ascii="Arial" w:hAnsi="Arial" w:cs="Arial"/>
                <w:color w:val="333333"/>
                <w:kern w:val="0"/>
                <w:sz w:val="24"/>
                <w:szCs w:val="24"/>
              </w:rPr>
            </w:pPr>
            <w:r>
              <w:rPr>
                <w:rFonts w:hint="eastAsia" w:ascii="Arial" w:hAnsi="Arial" w:cs="Arial"/>
                <w:color w:val="333333"/>
                <w:kern w:val="0"/>
                <w:sz w:val="24"/>
                <w:szCs w:val="24"/>
              </w:rPr>
              <w:t>累</w:t>
            </w:r>
          </w:p>
          <w:p>
            <w:pPr>
              <w:rPr>
                <w:rFonts w:ascii="Arial" w:hAnsi="Arial" w:cs="Arial"/>
                <w:color w:val="333333"/>
                <w:kern w:val="0"/>
                <w:sz w:val="24"/>
                <w:szCs w:val="24"/>
              </w:rPr>
            </w:pPr>
            <w:r>
              <w:rPr>
                <w:rFonts w:hint="eastAsia" w:ascii="Arial" w:hAnsi="Arial" w:cs="Arial"/>
                <w:color w:val="333333"/>
                <w:kern w:val="0"/>
                <w:sz w:val="24"/>
                <w:szCs w:val="24"/>
              </w:rPr>
              <w:t>和</w:t>
            </w:r>
          </w:p>
          <w:p>
            <w:pPr>
              <w:rPr>
                <w:rFonts w:ascii="Arial" w:hAnsi="Arial" w:cs="Arial"/>
                <w:color w:val="333333"/>
                <w:kern w:val="0"/>
                <w:sz w:val="24"/>
                <w:szCs w:val="24"/>
              </w:rPr>
            </w:pPr>
            <w:r>
              <w:rPr>
                <w:rFonts w:hint="eastAsia" w:ascii="Arial" w:hAnsi="Arial" w:cs="Arial"/>
                <w:color w:val="333333"/>
                <w:kern w:val="0"/>
                <w:sz w:val="24"/>
                <w:szCs w:val="24"/>
              </w:rPr>
              <w:t>转</w:t>
            </w:r>
          </w:p>
          <w:p>
            <w:pPr>
              <w:rPr>
                <w:rFonts w:ascii="Arial" w:hAnsi="Arial" w:cs="Arial"/>
                <w:color w:val="333333"/>
                <w:kern w:val="0"/>
                <w:sz w:val="24"/>
                <w:szCs w:val="24"/>
              </w:rPr>
            </w:pPr>
            <w:r>
              <w:rPr>
                <w:rFonts w:hint="eastAsia" w:ascii="Arial" w:hAnsi="Arial" w:cs="Arial"/>
                <w:color w:val="333333"/>
                <w:kern w:val="0"/>
                <w:sz w:val="24"/>
                <w:szCs w:val="24"/>
              </w:rPr>
              <w:t>换</w:t>
            </w:r>
          </w:p>
        </w:tc>
        <w:tc>
          <w:tcPr>
            <w:tcW w:w="3342" w:type="dxa"/>
          </w:tcPr>
          <w:p>
            <w:pPr>
              <w:rPr>
                <w:sz w:val="24"/>
                <w:szCs w:val="24"/>
              </w:rPr>
            </w:pPr>
            <w:r>
              <w:rPr>
                <w:rFonts w:hint="eastAsia"/>
                <w:sz w:val="24"/>
                <w:szCs w:val="24"/>
              </w:rPr>
              <w:t>1.</w:t>
            </w:r>
            <w:r>
              <w:rPr>
                <w:rFonts w:ascii="Arial" w:hAnsi="Arial" w:cs="Arial"/>
                <w:color w:val="333333"/>
                <w:kern w:val="0"/>
                <w:sz w:val="24"/>
                <w:szCs w:val="24"/>
              </w:rPr>
              <w:t xml:space="preserve"> </w:t>
            </w:r>
            <w:r>
              <w:rPr>
                <w:rFonts w:ascii="Arial" w:hAnsi="Arial" w:eastAsia="宋体" w:cs="Arial"/>
                <w:color w:val="333333"/>
                <w:kern w:val="0"/>
                <w:sz w:val="24"/>
                <w:szCs w:val="24"/>
              </w:rPr>
              <w:t>有序开展学历证书和职业技能等级证书所体现的学习成果的认定、积累和转换，为技术技能人才持续成长拓宽通道。</w:t>
            </w:r>
          </w:p>
        </w:tc>
        <w:tc>
          <w:tcPr>
            <w:tcW w:w="2083" w:type="dxa"/>
          </w:tcPr>
          <w:p>
            <w:pPr>
              <w:rPr>
                <w:sz w:val="24"/>
                <w:szCs w:val="24"/>
              </w:rPr>
            </w:pPr>
          </w:p>
        </w:tc>
        <w:tc>
          <w:tcPr>
            <w:tcW w:w="2371" w:type="dxa"/>
          </w:tcPr>
          <w:p>
            <w:pPr>
              <w:rPr>
                <w:sz w:val="24"/>
                <w:szCs w:val="24"/>
              </w:rPr>
            </w:pPr>
          </w:p>
        </w:tc>
        <w:tc>
          <w:tcPr>
            <w:tcW w:w="1276" w:type="dxa"/>
            <w:vMerge w:val="restart"/>
          </w:tcPr>
          <w:p>
            <w:pPr>
              <w:rPr>
                <w:sz w:val="24"/>
                <w:szCs w:val="24"/>
              </w:rPr>
            </w:pPr>
            <w:r>
              <w:rPr>
                <w:rFonts w:hint="eastAsia"/>
                <w:sz w:val="24"/>
                <w:szCs w:val="24"/>
              </w:rPr>
              <w:t>教</w:t>
            </w:r>
          </w:p>
          <w:p>
            <w:pPr>
              <w:rPr>
                <w:sz w:val="24"/>
                <w:szCs w:val="24"/>
              </w:rPr>
            </w:pPr>
          </w:p>
          <w:p>
            <w:pPr>
              <w:rPr>
                <w:sz w:val="24"/>
                <w:szCs w:val="24"/>
              </w:rPr>
            </w:pPr>
          </w:p>
          <w:p>
            <w:pPr>
              <w:rPr>
                <w:sz w:val="24"/>
                <w:szCs w:val="24"/>
              </w:rPr>
            </w:pPr>
          </w:p>
          <w:p>
            <w:pPr>
              <w:rPr>
                <w:sz w:val="24"/>
                <w:szCs w:val="24"/>
              </w:rPr>
            </w:pPr>
            <w:r>
              <w:rPr>
                <w:rFonts w:hint="eastAsia"/>
                <w:sz w:val="24"/>
                <w:szCs w:val="24"/>
              </w:rPr>
              <w:t>务</w:t>
            </w:r>
          </w:p>
          <w:p>
            <w:pPr>
              <w:rPr>
                <w:sz w:val="24"/>
                <w:szCs w:val="24"/>
              </w:rPr>
            </w:pPr>
          </w:p>
          <w:p>
            <w:pPr>
              <w:rPr>
                <w:sz w:val="24"/>
                <w:szCs w:val="24"/>
              </w:rPr>
            </w:pPr>
          </w:p>
          <w:p>
            <w:pPr>
              <w:rPr>
                <w:sz w:val="24"/>
                <w:szCs w:val="24"/>
              </w:rPr>
            </w:pPr>
          </w:p>
          <w:p>
            <w:pPr>
              <w:rPr>
                <w:sz w:val="24"/>
                <w:szCs w:val="24"/>
              </w:rPr>
            </w:pPr>
            <w:r>
              <w:rPr>
                <w:rFonts w:hint="eastAsia"/>
                <w:sz w:val="24"/>
                <w:szCs w:val="24"/>
              </w:rPr>
              <w:t>处</w:t>
            </w:r>
          </w:p>
          <w:p>
            <w:pPr>
              <w:rPr>
                <w:sz w:val="24"/>
                <w:szCs w:val="24"/>
              </w:rPr>
            </w:pPr>
          </w:p>
        </w:tc>
        <w:tc>
          <w:tcPr>
            <w:tcW w:w="2693" w:type="dxa"/>
          </w:tcPr>
          <w:p>
            <w:pPr>
              <w:rPr>
                <w:sz w:val="24"/>
                <w:szCs w:val="24"/>
              </w:rPr>
            </w:pPr>
            <w:r>
              <w:rPr>
                <w:rFonts w:hint="eastAsia"/>
                <w:sz w:val="24"/>
                <w:szCs w:val="24"/>
              </w:rPr>
              <w:t>继续教育与培训学院</w:t>
            </w:r>
          </w:p>
          <w:p>
            <w:pPr>
              <w:rPr>
                <w:sz w:val="24"/>
                <w:szCs w:val="24"/>
              </w:rPr>
            </w:pPr>
            <w:r>
              <w:rPr>
                <w:rFonts w:hint="eastAsia"/>
                <w:sz w:val="24"/>
                <w:szCs w:val="24"/>
              </w:rPr>
              <w:t>各二级学院</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7" w:hRule="atLeast"/>
        </w:trPr>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rPr>
                <w:sz w:val="24"/>
                <w:szCs w:val="24"/>
              </w:rPr>
            </w:pPr>
            <w:r>
              <w:rPr>
                <w:rFonts w:hint="eastAsia"/>
                <w:sz w:val="24"/>
                <w:szCs w:val="24"/>
              </w:rPr>
              <w:t>2.</w:t>
            </w:r>
            <w:r>
              <w:rPr>
                <w:rFonts w:ascii="Arial" w:hAnsi="Arial" w:eastAsia="宋体" w:cs="Arial"/>
                <w:color w:val="333333"/>
                <w:kern w:val="0"/>
                <w:sz w:val="24"/>
                <w:szCs w:val="24"/>
              </w:rPr>
              <w:t>职业院校对取得若干职业技能等级证书的社会成员，支持其根据证书等级和类别免修部分课程，在完成规定内容学习后依法依规取得学历证书。</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trPr>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rPr>
                <w:sz w:val="24"/>
                <w:szCs w:val="24"/>
              </w:rPr>
            </w:pPr>
            <w:r>
              <w:rPr>
                <w:rFonts w:hint="eastAsia"/>
                <w:sz w:val="24"/>
                <w:szCs w:val="24"/>
              </w:rPr>
              <w:t>3.</w:t>
            </w:r>
            <w:r>
              <w:rPr>
                <w:rFonts w:ascii="Arial" w:hAnsi="Arial" w:eastAsia="宋体" w:cs="Arial"/>
                <w:color w:val="333333"/>
                <w:kern w:val="0"/>
                <w:sz w:val="24"/>
                <w:szCs w:val="24"/>
              </w:rPr>
              <w:t>对接受职业院校学历教育并取得毕业证书的学生，在参加相应的职业技能等级证书考试时，可免试部分内容。</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trPr>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rPr>
                <w:sz w:val="24"/>
                <w:szCs w:val="24"/>
              </w:rPr>
            </w:pPr>
            <w:r>
              <w:rPr>
                <w:rFonts w:hint="eastAsia"/>
                <w:sz w:val="24"/>
                <w:szCs w:val="24"/>
              </w:rPr>
              <w:t>4.</w:t>
            </w:r>
            <w:r>
              <w:rPr>
                <w:rFonts w:ascii="Arial" w:hAnsi="Arial" w:cs="Arial"/>
                <w:color w:val="333333"/>
                <w:kern w:val="0"/>
                <w:sz w:val="24"/>
                <w:szCs w:val="24"/>
              </w:rPr>
              <w:t xml:space="preserve"> </w:t>
            </w:r>
            <w:r>
              <w:rPr>
                <w:rFonts w:ascii="Arial" w:hAnsi="Arial" w:eastAsia="宋体" w:cs="Arial"/>
                <w:color w:val="333333"/>
                <w:kern w:val="0"/>
                <w:sz w:val="24"/>
                <w:szCs w:val="24"/>
              </w:rPr>
              <w:t>从2019年起，在有条件的地区和高校探索实施试点工作，制定符合国情的国家资历框架。</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Pr>
          <w:p>
            <w:pPr>
              <w:rPr>
                <w:b/>
                <w:sz w:val="24"/>
                <w:szCs w:val="24"/>
              </w:rPr>
            </w:pPr>
            <w:r>
              <w:rPr>
                <w:rFonts w:hint="eastAsia"/>
                <w:b/>
                <w:sz w:val="24"/>
                <w:szCs w:val="24"/>
              </w:rPr>
              <w:t>三、促进产教融合校企“双元”育人</w:t>
            </w:r>
          </w:p>
        </w:tc>
        <w:tc>
          <w:tcPr>
            <w:tcW w:w="851" w:type="dxa"/>
            <w:vMerge w:val="restart"/>
          </w:tcPr>
          <w:p>
            <w:pPr>
              <w:rPr>
                <w:rFonts w:ascii="Arial" w:hAnsi="Arial" w:eastAsia="宋体" w:cs="Arial"/>
                <w:color w:val="333333"/>
                <w:kern w:val="0"/>
                <w:sz w:val="24"/>
                <w:szCs w:val="24"/>
              </w:rPr>
            </w:pPr>
            <w:r>
              <w:rPr>
                <w:rFonts w:ascii="Arial" w:hAnsi="Arial" w:eastAsia="宋体" w:cs="Arial"/>
                <w:color w:val="333333"/>
                <w:kern w:val="0"/>
                <w:sz w:val="24"/>
                <w:szCs w:val="24"/>
              </w:rPr>
              <w:t>（九）坚</w:t>
            </w:r>
          </w:p>
          <w:p>
            <w:pPr>
              <w:rPr>
                <w:rFonts w:ascii="Arial" w:hAnsi="Arial" w:eastAsia="宋体" w:cs="Arial"/>
                <w:color w:val="333333"/>
                <w:kern w:val="0"/>
                <w:sz w:val="24"/>
                <w:szCs w:val="24"/>
              </w:rPr>
            </w:pPr>
            <w:r>
              <w:rPr>
                <w:rFonts w:ascii="Arial" w:hAnsi="Arial" w:eastAsia="宋体" w:cs="Arial"/>
                <w:color w:val="333333"/>
                <w:kern w:val="0"/>
                <w:sz w:val="24"/>
                <w:szCs w:val="24"/>
              </w:rPr>
              <w:t>持</w:t>
            </w:r>
          </w:p>
          <w:p>
            <w:pPr>
              <w:rPr>
                <w:rFonts w:ascii="Arial" w:hAnsi="Arial" w:eastAsia="宋体" w:cs="Arial"/>
                <w:color w:val="333333"/>
                <w:kern w:val="0"/>
                <w:sz w:val="24"/>
                <w:szCs w:val="24"/>
              </w:rPr>
            </w:pPr>
            <w:r>
              <w:rPr>
                <w:rFonts w:ascii="Arial" w:hAnsi="Arial" w:eastAsia="宋体" w:cs="Arial"/>
                <w:color w:val="333333"/>
                <w:kern w:val="0"/>
                <w:sz w:val="24"/>
                <w:szCs w:val="24"/>
              </w:rPr>
              <w:t>知</w:t>
            </w:r>
          </w:p>
          <w:p>
            <w:pPr>
              <w:rPr>
                <w:rFonts w:ascii="Arial" w:hAnsi="Arial" w:eastAsia="宋体" w:cs="Arial"/>
                <w:color w:val="333333"/>
                <w:kern w:val="0"/>
                <w:sz w:val="24"/>
                <w:szCs w:val="24"/>
              </w:rPr>
            </w:pPr>
            <w:r>
              <w:rPr>
                <w:rFonts w:ascii="Arial" w:hAnsi="Arial" w:eastAsia="宋体" w:cs="Arial"/>
                <w:color w:val="333333"/>
                <w:kern w:val="0"/>
                <w:sz w:val="24"/>
                <w:szCs w:val="24"/>
              </w:rPr>
              <w:t>行</w:t>
            </w:r>
          </w:p>
          <w:p>
            <w:pPr>
              <w:rPr>
                <w:rFonts w:ascii="Arial" w:hAnsi="Arial" w:eastAsia="宋体" w:cs="Arial"/>
                <w:color w:val="333333"/>
                <w:kern w:val="0"/>
                <w:sz w:val="24"/>
                <w:szCs w:val="24"/>
              </w:rPr>
            </w:pPr>
            <w:r>
              <w:rPr>
                <w:rFonts w:ascii="Arial" w:hAnsi="Arial" w:eastAsia="宋体" w:cs="Arial"/>
                <w:color w:val="333333"/>
                <w:kern w:val="0"/>
                <w:sz w:val="24"/>
                <w:szCs w:val="24"/>
              </w:rPr>
              <w:t>合</w:t>
            </w:r>
          </w:p>
          <w:p>
            <w:pPr>
              <w:rPr>
                <w:rFonts w:ascii="Arial" w:hAnsi="Arial" w:eastAsia="宋体" w:cs="Arial"/>
                <w:color w:val="333333"/>
                <w:kern w:val="0"/>
                <w:sz w:val="24"/>
                <w:szCs w:val="24"/>
              </w:rPr>
            </w:pPr>
            <w:r>
              <w:rPr>
                <w:rFonts w:ascii="Arial" w:hAnsi="Arial" w:eastAsia="宋体" w:cs="Arial"/>
                <w:color w:val="333333"/>
                <w:kern w:val="0"/>
                <w:sz w:val="24"/>
                <w:szCs w:val="24"/>
              </w:rPr>
              <w:t>一</w:t>
            </w:r>
          </w:p>
          <w:p>
            <w:pPr>
              <w:rPr>
                <w:rFonts w:ascii="Arial" w:hAnsi="Arial" w:eastAsia="宋体" w:cs="Arial"/>
                <w:color w:val="333333"/>
                <w:kern w:val="0"/>
                <w:sz w:val="24"/>
                <w:szCs w:val="24"/>
              </w:rPr>
            </w:pPr>
            <w:r>
              <w:rPr>
                <w:rFonts w:ascii="Arial" w:hAnsi="Arial" w:eastAsia="宋体" w:cs="Arial"/>
                <w:color w:val="333333"/>
                <w:kern w:val="0"/>
                <w:sz w:val="24"/>
                <w:szCs w:val="24"/>
              </w:rPr>
              <w:t>、</w:t>
            </w:r>
          </w:p>
          <w:p>
            <w:pPr>
              <w:rPr>
                <w:rFonts w:ascii="Arial" w:hAnsi="Arial" w:eastAsia="宋体" w:cs="Arial"/>
                <w:color w:val="333333"/>
                <w:kern w:val="0"/>
                <w:sz w:val="24"/>
                <w:szCs w:val="24"/>
              </w:rPr>
            </w:pPr>
            <w:r>
              <w:rPr>
                <w:rFonts w:ascii="Arial" w:hAnsi="Arial" w:eastAsia="宋体" w:cs="Arial"/>
                <w:color w:val="333333"/>
                <w:kern w:val="0"/>
                <w:sz w:val="24"/>
                <w:szCs w:val="24"/>
              </w:rPr>
              <w:t>工</w:t>
            </w:r>
          </w:p>
          <w:p>
            <w:pPr>
              <w:rPr>
                <w:rFonts w:ascii="Arial" w:hAnsi="Arial" w:eastAsia="宋体" w:cs="Arial"/>
                <w:color w:val="333333"/>
                <w:kern w:val="0"/>
                <w:sz w:val="24"/>
                <w:szCs w:val="24"/>
              </w:rPr>
            </w:pPr>
            <w:r>
              <w:rPr>
                <w:rFonts w:ascii="Arial" w:hAnsi="Arial" w:eastAsia="宋体" w:cs="Arial"/>
                <w:color w:val="333333"/>
                <w:kern w:val="0"/>
                <w:sz w:val="24"/>
                <w:szCs w:val="24"/>
              </w:rPr>
              <w:t>学</w:t>
            </w:r>
          </w:p>
          <w:p>
            <w:pPr>
              <w:rPr>
                <w:rFonts w:ascii="Arial" w:hAnsi="Arial" w:eastAsia="宋体" w:cs="Arial"/>
                <w:color w:val="333333"/>
                <w:kern w:val="0"/>
                <w:sz w:val="24"/>
                <w:szCs w:val="24"/>
              </w:rPr>
            </w:pPr>
            <w:r>
              <w:rPr>
                <w:rFonts w:ascii="Arial" w:hAnsi="Arial" w:eastAsia="宋体" w:cs="Arial"/>
                <w:color w:val="333333"/>
                <w:kern w:val="0"/>
                <w:sz w:val="24"/>
                <w:szCs w:val="24"/>
              </w:rPr>
              <w:t>结</w:t>
            </w:r>
          </w:p>
          <w:p>
            <w:pPr>
              <w:rPr>
                <w:sz w:val="24"/>
                <w:szCs w:val="24"/>
              </w:rPr>
            </w:pPr>
            <w:r>
              <w:rPr>
                <w:rFonts w:ascii="Arial" w:hAnsi="Arial" w:eastAsia="宋体" w:cs="Arial"/>
                <w:color w:val="333333"/>
                <w:kern w:val="0"/>
                <w:sz w:val="24"/>
                <w:szCs w:val="24"/>
              </w:rPr>
              <w:t>合</w:t>
            </w:r>
          </w:p>
        </w:tc>
        <w:tc>
          <w:tcPr>
            <w:tcW w:w="3342" w:type="dxa"/>
          </w:tcPr>
          <w:p>
            <w:pPr>
              <w:rPr>
                <w:sz w:val="24"/>
                <w:szCs w:val="24"/>
              </w:rPr>
            </w:pPr>
            <w:r>
              <w:rPr>
                <w:rFonts w:hint="eastAsia"/>
                <w:sz w:val="24"/>
                <w:szCs w:val="24"/>
              </w:rPr>
              <w:t>1.</w:t>
            </w:r>
            <w:r>
              <w:rPr>
                <w:rFonts w:ascii="Arial" w:hAnsi="Arial" w:eastAsia="宋体" w:cs="Arial"/>
                <w:color w:val="333333"/>
                <w:kern w:val="0"/>
                <w:sz w:val="24"/>
                <w:szCs w:val="24"/>
              </w:rPr>
              <w:t>借鉴“双元制”等模式，总结现代学徒制和企业新型学徒制试点经验，校企共同研究制定人才培养方案，及时将新技术、新工艺、新规范纳入教学标准和教学内容，强化学生实习实训。</w:t>
            </w:r>
          </w:p>
        </w:tc>
        <w:tc>
          <w:tcPr>
            <w:tcW w:w="2083" w:type="dxa"/>
          </w:tcPr>
          <w:p>
            <w:pPr>
              <w:rPr>
                <w:sz w:val="24"/>
                <w:szCs w:val="24"/>
              </w:rPr>
            </w:pPr>
          </w:p>
        </w:tc>
        <w:tc>
          <w:tcPr>
            <w:tcW w:w="2371" w:type="dxa"/>
          </w:tcPr>
          <w:p>
            <w:pPr>
              <w:rPr>
                <w:sz w:val="24"/>
                <w:szCs w:val="24"/>
              </w:rPr>
            </w:pPr>
          </w:p>
        </w:tc>
        <w:tc>
          <w:tcPr>
            <w:tcW w:w="1276" w:type="dxa"/>
            <w:vMerge w:val="restart"/>
          </w:tcPr>
          <w:p>
            <w:pPr>
              <w:rPr>
                <w:sz w:val="24"/>
                <w:szCs w:val="24"/>
              </w:rPr>
            </w:pPr>
            <w:r>
              <w:rPr>
                <w:rFonts w:hint="eastAsia"/>
                <w:sz w:val="24"/>
                <w:szCs w:val="24"/>
              </w:rPr>
              <w:t>教</w:t>
            </w:r>
          </w:p>
          <w:p>
            <w:pPr>
              <w:rPr>
                <w:sz w:val="24"/>
                <w:szCs w:val="24"/>
              </w:rPr>
            </w:pPr>
          </w:p>
          <w:p>
            <w:pPr>
              <w:rPr>
                <w:sz w:val="24"/>
                <w:szCs w:val="24"/>
              </w:rPr>
            </w:pPr>
          </w:p>
          <w:p>
            <w:pPr>
              <w:rPr>
                <w:sz w:val="24"/>
                <w:szCs w:val="24"/>
              </w:rPr>
            </w:pPr>
            <w:r>
              <w:rPr>
                <w:rFonts w:hint="eastAsia"/>
                <w:sz w:val="24"/>
                <w:szCs w:val="24"/>
              </w:rPr>
              <w:t>务</w:t>
            </w:r>
          </w:p>
          <w:p>
            <w:pPr>
              <w:rPr>
                <w:sz w:val="24"/>
                <w:szCs w:val="24"/>
              </w:rPr>
            </w:pPr>
          </w:p>
          <w:p>
            <w:pPr>
              <w:rPr>
                <w:sz w:val="24"/>
                <w:szCs w:val="24"/>
              </w:rPr>
            </w:pPr>
          </w:p>
          <w:p>
            <w:pPr>
              <w:rPr>
                <w:sz w:val="24"/>
                <w:szCs w:val="24"/>
              </w:rPr>
            </w:pPr>
            <w:r>
              <w:rPr>
                <w:rFonts w:hint="eastAsia"/>
                <w:sz w:val="24"/>
                <w:szCs w:val="24"/>
              </w:rPr>
              <w:t>处</w:t>
            </w:r>
          </w:p>
          <w:p>
            <w:pPr>
              <w:rPr>
                <w:sz w:val="24"/>
                <w:szCs w:val="24"/>
              </w:rPr>
            </w:pP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rPr>
                <w:sz w:val="24"/>
                <w:szCs w:val="24"/>
              </w:rPr>
            </w:pPr>
            <w:r>
              <w:rPr>
                <w:rFonts w:hint="eastAsia"/>
                <w:sz w:val="24"/>
                <w:szCs w:val="24"/>
              </w:rPr>
              <w:t>2.</w:t>
            </w:r>
            <w:r>
              <w:rPr>
                <w:rFonts w:ascii="Arial" w:hAnsi="Arial" w:cs="Arial"/>
                <w:color w:val="333333"/>
                <w:kern w:val="0"/>
                <w:sz w:val="24"/>
                <w:szCs w:val="24"/>
              </w:rPr>
              <w:t xml:space="preserve"> </w:t>
            </w:r>
            <w:r>
              <w:rPr>
                <w:rFonts w:ascii="Arial" w:hAnsi="Arial" w:eastAsia="宋体" w:cs="Arial"/>
                <w:color w:val="333333"/>
                <w:kern w:val="0"/>
                <w:sz w:val="24"/>
                <w:szCs w:val="24"/>
              </w:rPr>
              <w:t>健全专业设置定期评估机制，强化地方引导本区域职业院校优化专业设置的职责，原则上每5年修订1次职业院校专业目录，学校依据目录灵活自主设置专业，每年调整次专业。</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rPr>
                <w:sz w:val="24"/>
                <w:szCs w:val="24"/>
              </w:rPr>
            </w:pPr>
            <w:r>
              <w:rPr>
                <w:rFonts w:hint="eastAsia"/>
                <w:sz w:val="24"/>
                <w:szCs w:val="24"/>
              </w:rPr>
              <w:t>3.</w:t>
            </w:r>
            <w:r>
              <w:rPr>
                <w:rFonts w:ascii="Arial" w:hAnsi="Arial" w:eastAsia="宋体" w:cs="Arial"/>
                <w:color w:val="333333"/>
                <w:kern w:val="0"/>
                <w:sz w:val="24"/>
                <w:szCs w:val="24"/>
              </w:rPr>
              <w:t>健全专业教学资源库，建立共建共享平台的资源认证标准和交易机制，进一步扩大优质资源覆盖面。</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widowControl/>
              <w:shd w:val="clear" w:color="auto" w:fill="FFFFFF"/>
              <w:jc w:val="left"/>
              <w:rPr>
                <w:rFonts w:ascii="Arial" w:hAnsi="Arial" w:cs="Arial"/>
                <w:color w:val="333333"/>
                <w:kern w:val="0"/>
                <w:sz w:val="24"/>
                <w:szCs w:val="24"/>
              </w:rPr>
            </w:pPr>
            <w:r>
              <w:rPr>
                <w:rFonts w:hint="eastAsia"/>
                <w:sz w:val="24"/>
                <w:szCs w:val="24"/>
              </w:rPr>
              <w:t>4.</w:t>
            </w:r>
            <w:r>
              <w:rPr>
                <w:rFonts w:ascii="Arial" w:hAnsi="Arial" w:cs="Arial"/>
                <w:color w:val="333333"/>
                <w:kern w:val="0"/>
                <w:sz w:val="24"/>
                <w:szCs w:val="24"/>
              </w:rPr>
              <w:t xml:space="preserve"> </w:t>
            </w:r>
            <w:r>
              <w:rPr>
                <w:rFonts w:ascii="Arial" w:hAnsi="Arial" w:eastAsia="宋体" w:cs="Arial"/>
                <w:color w:val="333333"/>
                <w:kern w:val="0"/>
                <w:sz w:val="24"/>
                <w:szCs w:val="24"/>
              </w:rPr>
              <w:t>每3年修订1次教材，其中专业教材随信息技术发展和产业升级情况及时动态更新。</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rPr>
                <w:sz w:val="24"/>
                <w:szCs w:val="24"/>
              </w:rPr>
            </w:pPr>
            <w:r>
              <w:rPr>
                <w:rFonts w:hint="eastAsia" w:ascii="Arial" w:hAnsi="Arial" w:cs="Arial"/>
                <w:color w:val="333333"/>
                <w:kern w:val="0"/>
                <w:sz w:val="24"/>
                <w:szCs w:val="24"/>
              </w:rPr>
              <w:t>5.</w:t>
            </w:r>
            <w:r>
              <w:rPr>
                <w:rFonts w:ascii="Arial" w:hAnsi="Arial" w:eastAsia="宋体" w:cs="Arial"/>
                <w:color w:val="333333"/>
                <w:kern w:val="0"/>
                <w:sz w:val="24"/>
                <w:szCs w:val="24"/>
              </w:rPr>
              <w:t>适应“互联网+职业教育”发展需求，运用现代信息技术改进教学方式方法，推进虚拟工厂等网络学习空间建设和普遍应用。</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信息技术中心、各二级学院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restart"/>
          </w:tcPr>
          <w:p>
            <w:pPr>
              <w:rPr>
                <w:rFonts w:ascii="Arial" w:hAnsi="Arial" w:eastAsia="宋体" w:cs="Arial"/>
                <w:color w:val="333333"/>
                <w:kern w:val="0"/>
                <w:sz w:val="24"/>
                <w:szCs w:val="24"/>
              </w:rPr>
            </w:pPr>
            <w:r>
              <w:rPr>
                <w:rFonts w:ascii="Arial" w:hAnsi="Arial" w:eastAsia="宋体" w:cs="Arial"/>
                <w:color w:val="333333"/>
                <w:kern w:val="0"/>
                <w:sz w:val="24"/>
                <w:szCs w:val="24"/>
              </w:rPr>
              <w:t>（十）推</w:t>
            </w:r>
          </w:p>
          <w:p>
            <w:pPr>
              <w:rPr>
                <w:rFonts w:ascii="Arial" w:hAnsi="Arial" w:eastAsia="宋体" w:cs="Arial"/>
                <w:color w:val="333333"/>
                <w:kern w:val="0"/>
                <w:sz w:val="24"/>
                <w:szCs w:val="24"/>
              </w:rPr>
            </w:pPr>
            <w:r>
              <w:rPr>
                <w:rFonts w:ascii="Arial" w:hAnsi="Arial" w:eastAsia="宋体" w:cs="Arial"/>
                <w:color w:val="333333"/>
                <w:kern w:val="0"/>
                <w:sz w:val="24"/>
                <w:szCs w:val="24"/>
              </w:rPr>
              <w:t>动</w:t>
            </w:r>
          </w:p>
          <w:p>
            <w:pPr>
              <w:rPr>
                <w:rFonts w:ascii="Arial" w:hAnsi="Arial" w:eastAsia="宋体" w:cs="Arial"/>
                <w:color w:val="333333"/>
                <w:kern w:val="0"/>
                <w:sz w:val="24"/>
                <w:szCs w:val="24"/>
              </w:rPr>
            </w:pPr>
            <w:r>
              <w:rPr>
                <w:rFonts w:ascii="Arial" w:hAnsi="Arial" w:eastAsia="宋体" w:cs="Arial"/>
                <w:color w:val="333333"/>
                <w:kern w:val="0"/>
                <w:sz w:val="24"/>
                <w:szCs w:val="24"/>
              </w:rPr>
              <w:t>校</w:t>
            </w:r>
          </w:p>
          <w:p>
            <w:pPr>
              <w:rPr>
                <w:rFonts w:ascii="Arial" w:hAnsi="Arial" w:eastAsia="宋体" w:cs="Arial"/>
                <w:color w:val="333333"/>
                <w:kern w:val="0"/>
                <w:sz w:val="24"/>
                <w:szCs w:val="24"/>
              </w:rPr>
            </w:pPr>
            <w:r>
              <w:rPr>
                <w:rFonts w:ascii="Arial" w:hAnsi="Arial" w:eastAsia="宋体" w:cs="Arial"/>
                <w:color w:val="333333"/>
                <w:kern w:val="0"/>
                <w:sz w:val="24"/>
                <w:szCs w:val="24"/>
              </w:rPr>
              <w:t>企</w:t>
            </w:r>
          </w:p>
          <w:p>
            <w:pPr>
              <w:rPr>
                <w:rFonts w:ascii="Arial" w:hAnsi="Arial" w:eastAsia="宋体" w:cs="Arial"/>
                <w:color w:val="333333"/>
                <w:kern w:val="0"/>
                <w:sz w:val="24"/>
                <w:szCs w:val="24"/>
              </w:rPr>
            </w:pPr>
            <w:r>
              <w:rPr>
                <w:rFonts w:ascii="Arial" w:hAnsi="Arial" w:eastAsia="宋体" w:cs="Arial"/>
                <w:color w:val="333333"/>
                <w:kern w:val="0"/>
                <w:sz w:val="24"/>
                <w:szCs w:val="24"/>
              </w:rPr>
              <w:t>全</w:t>
            </w:r>
          </w:p>
          <w:p>
            <w:pPr>
              <w:rPr>
                <w:rFonts w:ascii="Arial" w:hAnsi="Arial" w:eastAsia="宋体" w:cs="Arial"/>
                <w:color w:val="333333"/>
                <w:kern w:val="0"/>
                <w:sz w:val="24"/>
                <w:szCs w:val="24"/>
              </w:rPr>
            </w:pPr>
            <w:r>
              <w:rPr>
                <w:rFonts w:ascii="Arial" w:hAnsi="Arial" w:eastAsia="宋体" w:cs="Arial"/>
                <w:color w:val="333333"/>
                <w:kern w:val="0"/>
                <w:sz w:val="24"/>
                <w:szCs w:val="24"/>
              </w:rPr>
              <w:t>面</w:t>
            </w:r>
          </w:p>
          <w:p>
            <w:pPr>
              <w:rPr>
                <w:rFonts w:ascii="Arial" w:hAnsi="Arial" w:eastAsia="宋体" w:cs="Arial"/>
                <w:color w:val="333333"/>
                <w:kern w:val="0"/>
                <w:sz w:val="24"/>
                <w:szCs w:val="24"/>
              </w:rPr>
            </w:pPr>
            <w:r>
              <w:rPr>
                <w:rFonts w:ascii="Arial" w:hAnsi="Arial" w:eastAsia="宋体" w:cs="Arial"/>
                <w:color w:val="333333"/>
                <w:kern w:val="0"/>
                <w:sz w:val="24"/>
                <w:szCs w:val="24"/>
              </w:rPr>
              <w:t>加</w:t>
            </w:r>
          </w:p>
          <w:p>
            <w:pPr>
              <w:rPr>
                <w:rFonts w:ascii="Arial" w:hAnsi="Arial" w:eastAsia="宋体" w:cs="Arial"/>
                <w:color w:val="333333"/>
                <w:kern w:val="0"/>
                <w:sz w:val="24"/>
                <w:szCs w:val="24"/>
              </w:rPr>
            </w:pPr>
            <w:r>
              <w:rPr>
                <w:rFonts w:ascii="Arial" w:hAnsi="Arial" w:eastAsia="宋体" w:cs="Arial"/>
                <w:color w:val="333333"/>
                <w:kern w:val="0"/>
                <w:sz w:val="24"/>
                <w:szCs w:val="24"/>
              </w:rPr>
              <w:t>强</w:t>
            </w:r>
          </w:p>
          <w:p>
            <w:pPr>
              <w:rPr>
                <w:rFonts w:ascii="Arial" w:hAnsi="Arial" w:eastAsia="宋体" w:cs="Arial"/>
                <w:color w:val="333333"/>
                <w:kern w:val="0"/>
                <w:sz w:val="24"/>
                <w:szCs w:val="24"/>
              </w:rPr>
            </w:pPr>
            <w:r>
              <w:rPr>
                <w:rFonts w:ascii="Arial" w:hAnsi="Arial" w:eastAsia="宋体" w:cs="Arial"/>
                <w:color w:val="333333"/>
                <w:kern w:val="0"/>
                <w:sz w:val="24"/>
                <w:szCs w:val="24"/>
              </w:rPr>
              <w:t>深</w:t>
            </w:r>
          </w:p>
          <w:p>
            <w:pPr>
              <w:rPr>
                <w:rFonts w:ascii="Arial" w:hAnsi="Arial" w:eastAsia="宋体" w:cs="Arial"/>
                <w:color w:val="333333"/>
                <w:kern w:val="0"/>
                <w:sz w:val="24"/>
                <w:szCs w:val="24"/>
              </w:rPr>
            </w:pPr>
            <w:r>
              <w:rPr>
                <w:rFonts w:ascii="Arial" w:hAnsi="Arial" w:eastAsia="宋体" w:cs="Arial"/>
                <w:color w:val="333333"/>
                <w:kern w:val="0"/>
                <w:sz w:val="24"/>
                <w:szCs w:val="24"/>
              </w:rPr>
              <w:t>度</w:t>
            </w:r>
          </w:p>
          <w:p>
            <w:pPr>
              <w:rPr>
                <w:rFonts w:ascii="Arial" w:hAnsi="Arial" w:eastAsia="宋体" w:cs="Arial"/>
                <w:color w:val="333333"/>
                <w:kern w:val="0"/>
                <w:sz w:val="24"/>
                <w:szCs w:val="24"/>
              </w:rPr>
            </w:pPr>
            <w:r>
              <w:rPr>
                <w:rFonts w:ascii="Arial" w:hAnsi="Arial" w:eastAsia="宋体" w:cs="Arial"/>
                <w:color w:val="333333"/>
                <w:kern w:val="0"/>
                <w:sz w:val="24"/>
                <w:szCs w:val="24"/>
              </w:rPr>
              <w:t>合</w:t>
            </w:r>
          </w:p>
          <w:p>
            <w:pPr>
              <w:rPr>
                <w:sz w:val="24"/>
                <w:szCs w:val="24"/>
              </w:rPr>
            </w:pPr>
            <w:r>
              <w:rPr>
                <w:rFonts w:ascii="Arial" w:hAnsi="Arial" w:eastAsia="宋体" w:cs="Arial"/>
                <w:color w:val="333333"/>
                <w:kern w:val="0"/>
                <w:sz w:val="24"/>
                <w:szCs w:val="24"/>
              </w:rPr>
              <w:t>作</w:t>
            </w:r>
          </w:p>
        </w:tc>
        <w:tc>
          <w:tcPr>
            <w:tcW w:w="3342" w:type="dxa"/>
          </w:tcPr>
          <w:p>
            <w:pPr>
              <w:rPr>
                <w:sz w:val="24"/>
                <w:szCs w:val="24"/>
              </w:rPr>
            </w:pPr>
            <w:r>
              <w:rPr>
                <w:rFonts w:hint="eastAsia"/>
                <w:sz w:val="24"/>
                <w:szCs w:val="24"/>
              </w:rPr>
              <w:t>1.</w:t>
            </w:r>
            <w:r>
              <w:rPr>
                <w:rFonts w:ascii="Arial" w:hAnsi="Arial" w:cs="Arial"/>
                <w:color w:val="333333"/>
                <w:kern w:val="0"/>
                <w:sz w:val="24"/>
                <w:szCs w:val="24"/>
              </w:rPr>
              <w:t xml:space="preserve"> </w:t>
            </w:r>
            <w:r>
              <w:rPr>
                <w:rFonts w:ascii="Arial" w:hAnsi="Arial" w:eastAsia="宋体" w:cs="Arial"/>
                <w:color w:val="333333"/>
                <w:kern w:val="0"/>
                <w:sz w:val="24"/>
                <w:szCs w:val="24"/>
              </w:rPr>
              <w:t>职业院校应当根据自身特点和人才培养需要，主动与具备条件的企业在人才培养、技术创新、就业创业、社会服务、文化传承等方面开展合作。</w:t>
            </w:r>
          </w:p>
        </w:tc>
        <w:tc>
          <w:tcPr>
            <w:tcW w:w="2083" w:type="dxa"/>
          </w:tcPr>
          <w:p>
            <w:pPr>
              <w:rPr>
                <w:sz w:val="24"/>
                <w:szCs w:val="24"/>
              </w:rPr>
            </w:pPr>
          </w:p>
        </w:tc>
        <w:tc>
          <w:tcPr>
            <w:tcW w:w="2371" w:type="dxa"/>
          </w:tcPr>
          <w:p>
            <w:pPr>
              <w:rPr>
                <w:sz w:val="24"/>
                <w:szCs w:val="24"/>
              </w:rPr>
            </w:pPr>
          </w:p>
        </w:tc>
        <w:tc>
          <w:tcPr>
            <w:tcW w:w="1276" w:type="dxa"/>
            <w:vMerge w:val="restart"/>
          </w:tcPr>
          <w:p>
            <w:pPr>
              <w:rPr>
                <w:sz w:val="24"/>
                <w:szCs w:val="24"/>
              </w:rPr>
            </w:pPr>
            <w:r>
              <w:rPr>
                <w:rFonts w:hint="eastAsia"/>
                <w:sz w:val="24"/>
                <w:szCs w:val="24"/>
              </w:rPr>
              <w:t>科</w:t>
            </w:r>
          </w:p>
          <w:p>
            <w:pPr>
              <w:rPr>
                <w:sz w:val="24"/>
                <w:szCs w:val="24"/>
              </w:rPr>
            </w:pPr>
          </w:p>
          <w:p>
            <w:pPr>
              <w:rPr>
                <w:sz w:val="24"/>
                <w:szCs w:val="24"/>
              </w:rPr>
            </w:pPr>
            <w:r>
              <w:rPr>
                <w:rFonts w:hint="eastAsia"/>
                <w:sz w:val="24"/>
                <w:szCs w:val="24"/>
              </w:rPr>
              <w:t>研</w:t>
            </w:r>
          </w:p>
          <w:p>
            <w:pPr>
              <w:rPr>
                <w:sz w:val="24"/>
                <w:szCs w:val="24"/>
              </w:rPr>
            </w:pPr>
          </w:p>
          <w:p>
            <w:pPr>
              <w:rPr>
                <w:sz w:val="24"/>
                <w:szCs w:val="24"/>
              </w:rPr>
            </w:pPr>
            <w:r>
              <w:rPr>
                <w:rFonts w:hint="eastAsia"/>
                <w:sz w:val="24"/>
                <w:szCs w:val="24"/>
              </w:rPr>
              <w:t>与</w:t>
            </w:r>
          </w:p>
          <w:p>
            <w:pPr>
              <w:rPr>
                <w:sz w:val="24"/>
                <w:szCs w:val="24"/>
              </w:rPr>
            </w:pPr>
          </w:p>
          <w:p>
            <w:pPr>
              <w:rPr>
                <w:sz w:val="24"/>
                <w:szCs w:val="24"/>
              </w:rPr>
            </w:pPr>
            <w:r>
              <w:rPr>
                <w:rFonts w:hint="eastAsia"/>
                <w:sz w:val="24"/>
                <w:szCs w:val="24"/>
              </w:rPr>
              <w:t>合</w:t>
            </w:r>
          </w:p>
          <w:p>
            <w:pPr>
              <w:rPr>
                <w:sz w:val="24"/>
                <w:szCs w:val="24"/>
              </w:rPr>
            </w:pPr>
          </w:p>
          <w:p>
            <w:pPr>
              <w:rPr>
                <w:sz w:val="24"/>
                <w:szCs w:val="24"/>
              </w:rPr>
            </w:pPr>
            <w:r>
              <w:rPr>
                <w:rFonts w:hint="eastAsia"/>
                <w:sz w:val="24"/>
                <w:szCs w:val="24"/>
              </w:rPr>
              <w:t>作</w:t>
            </w:r>
          </w:p>
          <w:p>
            <w:pPr>
              <w:rPr>
                <w:sz w:val="24"/>
                <w:szCs w:val="24"/>
              </w:rPr>
            </w:pPr>
          </w:p>
          <w:p>
            <w:pPr>
              <w:rPr>
                <w:sz w:val="24"/>
                <w:szCs w:val="24"/>
              </w:rPr>
            </w:pPr>
            <w:r>
              <w:rPr>
                <w:rFonts w:hint="eastAsia"/>
                <w:sz w:val="24"/>
                <w:szCs w:val="24"/>
              </w:rPr>
              <w:t>发</w:t>
            </w:r>
          </w:p>
          <w:p>
            <w:pPr>
              <w:rPr>
                <w:sz w:val="24"/>
                <w:szCs w:val="24"/>
              </w:rPr>
            </w:pPr>
          </w:p>
          <w:p>
            <w:pPr>
              <w:rPr>
                <w:sz w:val="24"/>
                <w:szCs w:val="24"/>
              </w:rPr>
            </w:pPr>
            <w:r>
              <w:rPr>
                <w:rFonts w:hint="eastAsia"/>
                <w:sz w:val="24"/>
                <w:szCs w:val="24"/>
              </w:rPr>
              <w:t>展</w:t>
            </w:r>
          </w:p>
          <w:p>
            <w:pPr>
              <w:rPr>
                <w:sz w:val="24"/>
                <w:szCs w:val="24"/>
              </w:rPr>
            </w:pPr>
          </w:p>
          <w:p>
            <w:pPr>
              <w:rPr>
                <w:sz w:val="24"/>
                <w:szCs w:val="24"/>
              </w:rPr>
            </w:pPr>
            <w:r>
              <w:rPr>
                <w:rFonts w:hint="eastAsia"/>
                <w:sz w:val="24"/>
                <w:szCs w:val="24"/>
              </w:rPr>
              <w:t>处</w:t>
            </w:r>
          </w:p>
          <w:p>
            <w:pPr>
              <w:rPr>
                <w:sz w:val="24"/>
                <w:szCs w:val="24"/>
              </w:rPr>
            </w:pPr>
          </w:p>
        </w:tc>
        <w:tc>
          <w:tcPr>
            <w:tcW w:w="2693" w:type="dxa"/>
          </w:tcPr>
          <w:p>
            <w:pPr>
              <w:rPr>
                <w:sz w:val="24"/>
                <w:szCs w:val="24"/>
              </w:rPr>
            </w:pPr>
            <w:r>
              <w:rPr>
                <w:rFonts w:hint="eastAsia"/>
                <w:sz w:val="24"/>
                <w:szCs w:val="24"/>
              </w:rPr>
              <w:t>学生处、党委宣传部、各二级学院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rPr>
                <w:sz w:val="24"/>
                <w:szCs w:val="24"/>
              </w:rPr>
            </w:pPr>
            <w:r>
              <w:rPr>
                <w:rFonts w:hint="eastAsia"/>
                <w:sz w:val="24"/>
                <w:szCs w:val="24"/>
              </w:rPr>
              <w:t>2.</w:t>
            </w:r>
            <w:r>
              <w:rPr>
                <w:rFonts w:ascii="Arial" w:hAnsi="Arial" w:cs="Arial"/>
                <w:color w:val="333333"/>
                <w:kern w:val="0"/>
                <w:sz w:val="24"/>
                <w:szCs w:val="24"/>
              </w:rPr>
              <w:t xml:space="preserve"> </w:t>
            </w:r>
            <w:r>
              <w:rPr>
                <w:rFonts w:ascii="Arial" w:hAnsi="Arial" w:eastAsia="宋体" w:cs="Arial"/>
                <w:color w:val="333333"/>
                <w:kern w:val="0"/>
                <w:sz w:val="24"/>
                <w:szCs w:val="24"/>
              </w:rPr>
              <w:t>学校积极为企业提供所需的课程、师资等资源，企业应当依法履行实施职业教育的义务，利用资本、技术、知识、设施、设备和管理等要素参与校企合作，促进人力资源开发。</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rPr>
                <w:sz w:val="24"/>
                <w:szCs w:val="24"/>
              </w:rPr>
            </w:pPr>
            <w:r>
              <w:rPr>
                <w:rFonts w:hint="eastAsia"/>
                <w:sz w:val="24"/>
                <w:szCs w:val="24"/>
              </w:rPr>
              <w:t>3.</w:t>
            </w:r>
            <w:r>
              <w:rPr>
                <w:rFonts w:ascii="Arial" w:hAnsi="Arial" w:eastAsia="宋体" w:cs="Arial"/>
                <w:color w:val="333333"/>
                <w:kern w:val="0"/>
                <w:sz w:val="24"/>
                <w:szCs w:val="24"/>
              </w:rPr>
              <w:t>校企合作中，学校可从中获得智力、专利、教育、劳务等报酬，具体分配由学校按规定自行处理。</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rPr>
                <w:sz w:val="24"/>
                <w:szCs w:val="24"/>
              </w:rPr>
            </w:pPr>
            <w:r>
              <w:rPr>
                <w:rFonts w:hint="eastAsia"/>
                <w:sz w:val="24"/>
                <w:szCs w:val="24"/>
              </w:rPr>
              <w:t>4.</w:t>
            </w:r>
            <w:r>
              <w:rPr>
                <w:rFonts w:ascii="Arial" w:hAnsi="Arial" w:eastAsia="宋体" w:cs="Arial"/>
                <w:color w:val="333333"/>
                <w:kern w:val="0"/>
                <w:sz w:val="24"/>
                <w:szCs w:val="24"/>
              </w:rPr>
              <w:t>在开展国家产教融合建设试点基础上，建立产教融合型企业认证制度，对进入目录的产教融合型企业给予“金融+财政+土地+信用”的组合式激励，并按规定落实相关税收政策。</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restart"/>
          </w:tcPr>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（十一）</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打</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造</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一</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批</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高</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水</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平</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实</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训</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基</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地</w:t>
            </w:r>
          </w:p>
        </w:tc>
        <w:tc>
          <w:tcPr>
            <w:tcW w:w="3342" w:type="dxa"/>
          </w:tcPr>
          <w:p>
            <w:pPr>
              <w:rPr>
                <w:sz w:val="24"/>
                <w:szCs w:val="24"/>
              </w:rPr>
            </w:pPr>
            <w:r>
              <w:rPr>
                <w:rFonts w:hint="eastAsia"/>
                <w:sz w:val="24"/>
                <w:szCs w:val="24"/>
              </w:rPr>
              <w:t>1.</w:t>
            </w:r>
            <w:r>
              <w:rPr>
                <w:rFonts w:ascii="Arial" w:hAnsi="Arial" w:cs="Arial"/>
                <w:color w:val="333333"/>
                <w:kern w:val="0"/>
                <w:sz w:val="24"/>
                <w:szCs w:val="24"/>
              </w:rPr>
              <w:t xml:space="preserve"> </w:t>
            </w:r>
            <w:r>
              <w:rPr>
                <w:rFonts w:ascii="Arial" w:hAnsi="Arial" w:eastAsia="宋体" w:cs="Arial"/>
                <w:color w:val="333333"/>
                <w:kern w:val="0"/>
                <w:sz w:val="24"/>
                <w:szCs w:val="24"/>
              </w:rPr>
              <w:t>加大政策引导力度，充分调动各方面深化职业教育改革创新的积极性，带动各级政府、企业和职业院校建设一批资源共享，集实践教学、社会培训、企业真实生产和社会技术服务于一体的高水平职业教育实训基地。</w:t>
            </w:r>
          </w:p>
        </w:tc>
        <w:tc>
          <w:tcPr>
            <w:tcW w:w="2083" w:type="dxa"/>
          </w:tcPr>
          <w:p>
            <w:pPr>
              <w:rPr>
                <w:sz w:val="24"/>
                <w:szCs w:val="24"/>
              </w:rPr>
            </w:pPr>
          </w:p>
        </w:tc>
        <w:tc>
          <w:tcPr>
            <w:tcW w:w="2371" w:type="dxa"/>
          </w:tcPr>
          <w:p>
            <w:pPr>
              <w:rPr>
                <w:sz w:val="24"/>
                <w:szCs w:val="24"/>
              </w:rPr>
            </w:pPr>
          </w:p>
        </w:tc>
        <w:tc>
          <w:tcPr>
            <w:tcW w:w="1276" w:type="dxa"/>
            <w:vMerge w:val="restart"/>
          </w:tcPr>
          <w:p>
            <w:pPr>
              <w:rPr>
                <w:sz w:val="24"/>
                <w:szCs w:val="24"/>
              </w:rPr>
            </w:pPr>
            <w:r>
              <w:rPr>
                <w:rFonts w:hint="eastAsia"/>
                <w:sz w:val="24"/>
                <w:szCs w:val="24"/>
              </w:rPr>
              <w:t>教</w:t>
            </w:r>
          </w:p>
          <w:p>
            <w:pPr>
              <w:rPr>
                <w:sz w:val="24"/>
                <w:szCs w:val="24"/>
              </w:rPr>
            </w:pPr>
          </w:p>
          <w:p>
            <w:pPr>
              <w:rPr>
                <w:sz w:val="24"/>
                <w:szCs w:val="24"/>
              </w:rPr>
            </w:pPr>
            <w:r>
              <w:rPr>
                <w:rFonts w:hint="eastAsia"/>
                <w:sz w:val="24"/>
                <w:szCs w:val="24"/>
              </w:rPr>
              <w:t>务</w:t>
            </w:r>
          </w:p>
          <w:p>
            <w:pPr>
              <w:rPr>
                <w:sz w:val="24"/>
                <w:szCs w:val="24"/>
              </w:rPr>
            </w:pPr>
          </w:p>
          <w:p>
            <w:pPr>
              <w:rPr>
                <w:sz w:val="24"/>
                <w:szCs w:val="24"/>
              </w:rPr>
            </w:pPr>
            <w:r>
              <w:rPr>
                <w:rFonts w:hint="eastAsia"/>
                <w:sz w:val="24"/>
                <w:szCs w:val="24"/>
              </w:rPr>
              <w:t>处</w:t>
            </w:r>
          </w:p>
          <w:p>
            <w:pPr>
              <w:rPr>
                <w:sz w:val="24"/>
                <w:szCs w:val="24"/>
              </w:rPr>
            </w:pP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widowControl/>
              <w:shd w:val="clear" w:color="auto" w:fill="FFFFFF"/>
              <w:adjustRightInd w:val="0"/>
              <w:snapToGrid w:val="0"/>
              <w:jc w:val="left"/>
              <w:rPr>
                <w:rFonts w:ascii="Arial" w:hAnsi="Arial" w:cs="Arial"/>
                <w:color w:val="333333"/>
                <w:kern w:val="0"/>
                <w:sz w:val="24"/>
                <w:szCs w:val="24"/>
              </w:rPr>
            </w:pPr>
            <w:r>
              <w:rPr>
                <w:rFonts w:hint="eastAsia"/>
                <w:sz w:val="24"/>
                <w:szCs w:val="24"/>
              </w:rPr>
              <w:t>2.</w:t>
            </w:r>
            <w:r>
              <w:rPr>
                <w:rFonts w:ascii="Arial" w:hAnsi="Arial" w:cs="Arial"/>
                <w:color w:val="333333"/>
                <w:kern w:val="0"/>
                <w:sz w:val="24"/>
                <w:szCs w:val="24"/>
              </w:rPr>
              <w:t xml:space="preserve"> </w:t>
            </w:r>
            <w:r>
              <w:rPr>
                <w:rFonts w:ascii="Arial" w:hAnsi="Arial" w:eastAsia="宋体" w:cs="Arial"/>
                <w:color w:val="333333"/>
                <w:kern w:val="0"/>
                <w:sz w:val="24"/>
                <w:szCs w:val="24"/>
              </w:rPr>
              <w:t>积极吸引企业和社会力量参与，指导各地各校借鉴德国、日本、瑞士等国家经验，探索创新实训基地运营模式。</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rPr>
                <w:sz w:val="24"/>
                <w:szCs w:val="24"/>
              </w:rPr>
            </w:pPr>
            <w:r>
              <w:rPr>
                <w:rFonts w:hint="eastAsia" w:ascii="Arial" w:hAnsi="Arial" w:cs="Arial"/>
                <w:color w:val="333333"/>
                <w:kern w:val="0"/>
                <w:sz w:val="24"/>
                <w:szCs w:val="24"/>
              </w:rPr>
              <w:t>3.</w:t>
            </w:r>
            <w:r>
              <w:rPr>
                <w:rFonts w:ascii="Arial" w:hAnsi="Arial" w:eastAsia="宋体" w:cs="Arial"/>
                <w:color w:val="333333"/>
                <w:kern w:val="0"/>
                <w:sz w:val="24"/>
                <w:szCs w:val="24"/>
              </w:rPr>
              <w:t>提高实训基地规划、管理水平，为社会公众、职业院校在校生取得职业技能等级证书和企业提升人力资源水平提供有力支撑。</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restart"/>
          </w:tcPr>
          <w:p>
            <w:pPr>
              <w:rPr>
                <w:rFonts w:ascii="Arial" w:hAnsi="Arial" w:eastAsia="宋体" w:cs="Arial"/>
                <w:color w:val="333333"/>
                <w:kern w:val="0"/>
                <w:sz w:val="24"/>
                <w:szCs w:val="24"/>
              </w:rPr>
            </w:pPr>
            <w:r>
              <w:rPr>
                <w:rFonts w:ascii="Arial" w:hAnsi="Arial" w:eastAsia="宋体" w:cs="Arial"/>
                <w:color w:val="333333"/>
                <w:kern w:val="0"/>
                <w:sz w:val="24"/>
                <w:szCs w:val="24"/>
              </w:rPr>
              <w:t>（十二）</w:t>
            </w:r>
          </w:p>
          <w:p>
            <w:pPr>
              <w:rPr>
                <w:rFonts w:ascii="Arial" w:hAnsi="Arial" w:eastAsia="宋体" w:cs="Arial"/>
                <w:color w:val="333333"/>
                <w:kern w:val="0"/>
                <w:sz w:val="24"/>
                <w:szCs w:val="24"/>
              </w:rPr>
            </w:pPr>
            <w:r>
              <w:rPr>
                <w:rFonts w:ascii="Arial" w:hAnsi="Arial" w:eastAsia="宋体" w:cs="Arial"/>
                <w:color w:val="333333"/>
                <w:kern w:val="0"/>
                <w:sz w:val="24"/>
                <w:szCs w:val="24"/>
              </w:rPr>
              <w:t>多</w:t>
            </w:r>
          </w:p>
          <w:p>
            <w:pPr>
              <w:rPr>
                <w:rFonts w:ascii="Arial" w:hAnsi="Arial" w:eastAsia="宋体" w:cs="Arial"/>
                <w:color w:val="333333"/>
                <w:kern w:val="0"/>
                <w:sz w:val="24"/>
                <w:szCs w:val="24"/>
              </w:rPr>
            </w:pPr>
            <w:r>
              <w:rPr>
                <w:rFonts w:ascii="Arial" w:hAnsi="Arial" w:eastAsia="宋体" w:cs="Arial"/>
                <w:color w:val="333333"/>
                <w:kern w:val="0"/>
                <w:sz w:val="24"/>
                <w:szCs w:val="24"/>
              </w:rPr>
              <w:t>措</w:t>
            </w:r>
          </w:p>
          <w:p>
            <w:pPr>
              <w:rPr>
                <w:rFonts w:ascii="Arial" w:hAnsi="Arial" w:eastAsia="宋体" w:cs="Arial"/>
                <w:color w:val="333333"/>
                <w:kern w:val="0"/>
                <w:sz w:val="24"/>
                <w:szCs w:val="24"/>
              </w:rPr>
            </w:pPr>
            <w:r>
              <w:rPr>
                <w:rFonts w:ascii="Arial" w:hAnsi="Arial" w:eastAsia="宋体" w:cs="Arial"/>
                <w:color w:val="333333"/>
                <w:kern w:val="0"/>
                <w:sz w:val="24"/>
                <w:szCs w:val="24"/>
              </w:rPr>
              <w:t>并</w:t>
            </w:r>
          </w:p>
          <w:p>
            <w:pPr>
              <w:rPr>
                <w:rFonts w:ascii="Arial" w:hAnsi="Arial" w:eastAsia="宋体" w:cs="Arial"/>
                <w:color w:val="333333"/>
                <w:kern w:val="0"/>
                <w:sz w:val="24"/>
                <w:szCs w:val="24"/>
              </w:rPr>
            </w:pPr>
            <w:r>
              <w:rPr>
                <w:rFonts w:ascii="Arial" w:hAnsi="Arial" w:eastAsia="宋体" w:cs="Arial"/>
                <w:color w:val="333333"/>
                <w:kern w:val="0"/>
                <w:sz w:val="24"/>
                <w:szCs w:val="24"/>
              </w:rPr>
              <w:t>举</w:t>
            </w:r>
          </w:p>
          <w:p>
            <w:pPr>
              <w:rPr>
                <w:rFonts w:ascii="Arial" w:hAnsi="Arial" w:eastAsia="宋体" w:cs="Arial"/>
                <w:color w:val="333333"/>
                <w:kern w:val="0"/>
                <w:sz w:val="24"/>
                <w:szCs w:val="24"/>
              </w:rPr>
            </w:pPr>
            <w:r>
              <w:rPr>
                <w:rFonts w:ascii="Arial" w:hAnsi="Arial" w:eastAsia="宋体" w:cs="Arial"/>
                <w:color w:val="333333"/>
                <w:kern w:val="0"/>
                <w:sz w:val="24"/>
                <w:szCs w:val="24"/>
              </w:rPr>
              <w:t>打</w:t>
            </w:r>
          </w:p>
          <w:p>
            <w:pPr>
              <w:rPr>
                <w:rFonts w:ascii="Arial" w:hAnsi="Arial" w:eastAsia="宋体" w:cs="Arial"/>
                <w:color w:val="333333"/>
                <w:kern w:val="0"/>
                <w:sz w:val="24"/>
                <w:szCs w:val="24"/>
              </w:rPr>
            </w:pPr>
            <w:r>
              <w:rPr>
                <w:rFonts w:ascii="Arial" w:hAnsi="Arial" w:eastAsia="宋体" w:cs="Arial"/>
                <w:color w:val="333333"/>
                <w:kern w:val="0"/>
                <w:sz w:val="24"/>
                <w:szCs w:val="24"/>
              </w:rPr>
              <w:t>造</w:t>
            </w:r>
          </w:p>
          <w:p>
            <w:pPr>
              <w:rPr>
                <w:rFonts w:ascii="Arial" w:hAnsi="Arial" w:eastAsia="宋体" w:cs="Arial"/>
                <w:color w:val="333333"/>
                <w:kern w:val="0"/>
                <w:sz w:val="24"/>
                <w:szCs w:val="24"/>
              </w:rPr>
            </w:pPr>
            <w:r>
              <w:rPr>
                <w:rFonts w:ascii="Arial" w:hAnsi="Arial" w:eastAsia="宋体" w:cs="Arial"/>
                <w:color w:val="333333"/>
                <w:kern w:val="0"/>
                <w:sz w:val="24"/>
                <w:szCs w:val="24"/>
              </w:rPr>
              <w:t>“双</w:t>
            </w:r>
          </w:p>
          <w:p>
            <w:pPr>
              <w:rPr>
                <w:rFonts w:ascii="Arial" w:hAnsi="Arial" w:eastAsia="宋体" w:cs="Arial"/>
                <w:color w:val="333333"/>
                <w:kern w:val="0"/>
                <w:sz w:val="24"/>
                <w:szCs w:val="24"/>
              </w:rPr>
            </w:pPr>
            <w:r>
              <w:rPr>
                <w:rFonts w:ascii="Arial" w:hAnsi="Arial" w:eastAsia="宋体" w:cs="Arial"/>
                <w:color w:val="333333"/>
                <w:kern w:val="0"/>
                <w:sz w:val="24"/>
                <w:szCs w:val="24"/>
              </w:rPr>
              <w:t>师</w:t>
            </w:r>
          </w:p>
          <w:p>
            <w:pPr>
              <w:rPr>
                <w:rFonts w:ascii="Arial" w:hAnsi="Arial" w:eastAsia="宋体" w:cs="Arial"/>
                <w:color w:val="333333"/>
                <w:kern w:val="0"/>
                <w:sz w:val="24"/>
                <w:szCs w:val="24"/>
              </w:rPr>
            </w:pPr>
            <w:r>
              <w:rPr>
                <w:rFonts w:ascii="Arial" w:hAnsi="Arial" w:eastAsia="宋体" w:cs="Arial"/>
                <w:color w:val="333333"/>
                <w:kern w:val="0"/>
                <w:sz w:val="24"/>
                <w:szCs w:val="24"/>
              </w:rPr>
              <w:t>型”</w:t>
            </w:r>
          </w:p>
          <w:p>
            <w:pPr>
              <w:rPr>
                <w:rFonts w:ascii="Arial" w:hAnsi="Arial" w:eastAsia="宋体" w:cs="Arial"/>
                <w:color w:val="333333"/>
                <w:kern w:val="0"/>
                <w:sz w:val="24"/>
                <w:szCs w:val="24"/>
              </w:rPr>
            </w:pPr>
            <w:r>
              <w:rPr>
                <w:rFonts w:ascii="Arial" w:hAnsi="Arial" w:eastAsia="宋体" w:cs="Arial"/>
                <w:color w:val="333333"/>
                <w:kern w:val="0"/>
                <w:sz w:val="24"/>
                <w:szCs w:val="24"/>
              </w:rPr>
              <w:t>教</w:t>
            </w:r>
          </w:p>
          <w:p>
            <w:pPr>
              <w:rPr>
                <w:rFonts w:ascii="Arial" w:hAnsi="Arial" w:eastAsia="宋体" w:cs="Arial"/>
                <w:color w:val="333333"/>
                <w:kern w:val="0"/>
                <w:sz w:val="24"/>
                <w:szCs w:val="24"/>
              </w:rPr>
            </w:pPr>
            <w:r>
              <w:rPr>
                <w:rFonts w:ascii="Arial" w:hAnsi="Arial" w:eastAsia="宋体" w:cs="Arial"/>
                <w:color w:val="333333"/>
                <w:kern w:val="0"/>
                <w:sz w:val="24"/>
                <w:szCs w:val="24"/>
              </w:rPr>
              <w:t>师</w:t>
            </w:r>
          </w:p>
          <w:p>
            <w:pPr>
              <w:rPr>
                <w:rFonts w:ascii="Arial" w:hAnsi="Arial" w:eastAsia="宋体" w:cs="Arial"/>
                <w:color w:val="333333"/>
                <w:kern w:val="0"/>
                <w:sz w:val="24"/>
                <w:szCs w:val="24"/>
              </w:rPr>
            </w:pPr>
            <w:r>
              <w:rPr>
                <w:rFonts w:ascii="Arial" w:hAnsi="Arial" w:eastAsia="宋体" w:cs="Arial"/>
                <w:color w:val="333333"/>
                <w:kern w:val="0"/>
                <w:sz w:val="24"/>
                <w:szCs w:val="24"/>
              </w:rPr>
              <w:t>队</w:t>
            </w:r>
          </w:p>
          <w:p>
            <w:pPr>
              <w:rPr>
                <w:sz w:val="24"/>
                <w:szCs w:val="24"/>
              </w:rPr>
            </w:pPr>
            <w:r>
              <w:rPr>
                <w:rFonts w:ascii="Arial" w:hAnsi="Arial" w:eastAsia="宋体" w:cs="Arial"/>
                <w:color w:val="333333"/>
                <w:kern w:val="0"/>
                <w:sz w:val="24"/>
                <w:szCs w:val="24"/>
              </w:rPr>
              <w:t>伍</w:t>
            </w:r>
          </w:p>
        </w:tc>
        <w:tc>
          <w:tcPr>
            <w:tcW w:w="3342" w:type="dxa"/>
          </w:tcPr>
          <w:p>
            <w:pPr>
              <w:rPr>
                <w:sz w:val="24"/>
                <w:szCs w:val="24"/>
              </w:rPr>
            </w:pPr>
            <w:r>
              <w:rPr>
                <w:rFonts w:hint="eastAsia"/>
                <w:sz w:val="24"/>
                <w:szCs w:val="24"/>
              </w:rPr>
              <w:t>1.</w:t>
            </w:r>
            <w:r>
              <w:rPr>
                <w:rFonts w:ascii="Arial" w:hAnsi="Arial" w:cs="Arial"/>
                <w:color w:val="333333"/>
                <w:kern w:val="0"/>
                <w:sz w:val="24"/>
                <w:szCs w:val="24"/>
              </w:rPr>
              <w:t xml:space="preserve"> </w:t>
            </w:r>
            <w:r>
              <w:rPr>
                <w:rFonts w:ascii="Arial" w:hAnsi="Arial" w:eastAsia="宋体" w:cs="Arial"/>
                <w:color w:val="333333"/>
                <w:kern w:val="0"/>
                <w:sz w:val="24"/>
                <w:szCs w:val="24"/>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w:t>
            </w:r>
          </w:p>
        </w:tc>
        <w:tc>
          <w:tcPr>
            <w:tcW w:w="2083" w:type="dxa"/>
          </w:tcPr>
          <w:p>
            <w:pPr>
              <w:rPr>
                <w:sz w:val="24"/>
                <w:szCs w:val="24"/>
              </w:rPr>
            </w:pPr>
          </w:p>
        </w:tc>
        <w:tc>
          <w:tcPr>
            <w:tcW w:w="2371" w:type="dxa"/>
          </w:tcPr>
          <w:p>
            <w:pPr>
              <w:rPr>
                <w:sz w:val="24"/>
                <w:szCs w:val="24"/>
              </w:rPr>
            </w:pPr>
          </w:p>
        </w:tc>
        <w:tc>
          <w:tcPr>
            <w:tcW w:w="1276" w:type="dxa"/>
            <w:vMerge w:val="restart"/>
          </w:tcPr>
          <w:p>
            <w:pPr>
              <w:rPr>
                <w:sz w:val="24"/>
                <w:szCs w:val="24"/>
              </w:rPr>
            </w:pPr>
            <w:r>
              <w:rPr>
                <w:rFonts w:hint="eastAsia"/>
                <w:sz w:val="24"/>
                <w:szCs w:val="24"/>
              </w:rPr>
              <w:t>人</w:t>
            </w:r>
          </w:p>
          <w:p>
            <w:pPr>
              <w:rPr>
                <w:sz w:val="24"/>
                <w:szCs w:val="24"/>
              </w:rPr>
            </w:pPr>
          </w:p>
          <w:p>
            <w:pPr>
              <w:rPr>
                <w:sz w:val="24"/>
                <w:szCs w:val="24"/>
              </w:rPr>
            </w:pPr>
            <w:r>
              <w:rPr>
                <w:rFonts w:hint="eastAsia"/>
                <w:sz w:val="24"/>
                <w:szCs w:val="24"/>
              </w:rPr>
              <w:t>事</w:t>
            </w:r>
          </w:p>
          <w:p>
            <w:pPr>
              <w:rPr>
                <w:sz w:val="24"/>
                <w:szCs w:val="24"/>
              </w:rPr>
            </w:pPr>
          </w:p>
          <w:p>
            <w:pPr>
              <w:rPr>
                <w:sz w:val="24"/>
                <w:szCs w:val="24"/>
              </w:rPr>
            </w:pPr>
            <w:r>
              <w:rPr>
                <w:rFonts w:hint="eastAsia"/>
                <w:sz w:val="24"/>
                <w:szCs w:val="24"/>
              </w:rPr>
              <w:t>处</w:t>
            </w:r>
          </w:p>
          <w:p>
            <w:pPr>
              <w:rPr>
                <w:sz w:val="24"/>
                <w:szCs w:val="24"/>
              </w:rPr>
            </w:pP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widowControl/>
              <w:shd w:val="clear" w:color="auto" w:fill="FFFFFF"/>
              <w:adjustRightInd w:val="0"/>
              <w:snapToGrid w:val="0"/>
              <w:jc w:val="left"/>
              <w:rPr>
                <w:rFonts w:ascii="Arial" w:hAnsi="Arial" w:cs="Arial"/>
                <w:color w:val="333333"/>
                <w:kern w:val="0"/>
                <w:sz w:val="24"/>
                <w:szCs w:val="24"/>
              </w:rPr>
            </w:pPr>
            <w:r>
              <w:rPr>
                <w:rFonts w:hint="eastAsia"/>
                <w:sz w:val="24"/>
                <w:szCs w:val="24"/>
              </w:rPr>
              <w:t>2.</w:t>
            </w:r>
            <w:r>
              <w:rPr>
                <w:rFonts w:ascii="Arial" w:hAnsi="Arial" w:cs="Arial"/>
                <w:color w:val="333333"/>
                <w:kern w:val="0"/>
                <w:sz w:val="24"/>
                <w:szCs w:val="24"/>
              </w:rPr>
              <w:t xml:space="preserve"> </w:t>
            </w:r>
            <w:r>
              <w:rPr>
                <w:rFonts w:hint="eastAsia" w:ascii="Arial" w:hAnsi="Arial" w:eastAsia="宋体" w:cs="Arial"/>
                <w:color w:val="333333"/>
                <w:kern w:val="0"/>
                <w:sz w:val="24"/>
                <w:szCs w:val="24"/>
              </w:rPr>
              <w:t>定期组织选派职业院校骨干专业骨干教师赴国外研修访学</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国际合作交流处、各二级学院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rPr>
                <w:sz w:val="24"/>
                <w:szCs w:val="24"/>
              </w:rPr>
            </w:pPr>
            <w:r>
              <w:rPr>
                <w:rFonts w:hint="eastAsia" w:ascii="Arial" w:hAnsi="Arial" w:cs="Arial"/>
                <w:color w:val="333333"/>
                <w:kern w:val="0"/>
                <w:sz w:val="24"/>
                <w:szCs w:val="24"/>
              </w:rPr>
              <w:t>3.</w:t>
            </w:r>
            <w:r>
              <w:rPr>
                <w:rFonts w:ascii="Arial" w:hAnsi="Arial" w:cs="Arial"/>
                <w:color w:val="333333"/>
                <w:kern w:val="0"/>
                <w:sz w:val="24"/>
                <w:szCs w:val="24"/>
              </w:rPr>
              <w:t xml:space="preserve"> </w:t>
            </w:r>
            <w:r>
              <w:rPr>
                <w:rFonts w:ascii="Arial" w:hAnsi="Arial" w:eastAsia="宋体" w:cs="Arial"/>
                <w:color w:val="333333"/>
                <w:kern w:val="0"/>
                <w:sz w:val="24"/>
                <w:szCs w:val="24"/>
              </w:rPr>
              <w:t>在职业院校实行高层次、高技能人才以直接考察的方式公开招聘。</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rPr>
                <w:sz w:val="24"/>
                <w:szCs w:val="24"/>
              </w:rPr>
            </w:pPr>
            <w:r>
              <w:rPr>
                <w:rFonts w:hint="eastAsia" w:ascii="Arial" w:hAnsi="Arial" w:cs="Arial"/>
                <w:color w:val="333333"/>
                <w:kern w:val="0"/>
                <w:sz w:val="24"/>
                <w:szCs w:val="24"/>
              </w:rPr>
              <w:t>4.</w:t>
            </w:r>
            <w:r>
              <w:rPr>
                <w:rFonts w:ascii="Arial" w:hAnsi="Arial" w:cs="Arial"/>
                <w:color w:val="333333"/>
                <w:kern w:val="0"/>
                <w:sz w:val="24"/>
                <w:szCs w:val="24"/>
              </w:rPr>
              <w:t xml:space="preserve"> </w:t>
            </w:r>
            <w:r>
              <w:rPr>
                <w:rFonts w:ascii="Arial" w:hAnsi="Arial" w:eastAsia="宋体" w:cs="Arial"/>
                <w:color w:val="333333"/>
                <w:kern w:val="0"/>
                <w:sz w:val="24"/>
                <w:szCs w:val="24"/>
              </w:rPr>
              <w:t>建立健全职业院校自主聘任兼职教师的办法，推动企业工程技术人员、高技能人才和职业院校教师双向流动。</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sz w:val="24"/>
                <w:szCs w:val="24"/>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rPr>
                <w:sz w:val="24"/>
                <w:szCs w:val="24"/>
              </w:rPr>
            </w:pPr>
            <w:r>
              <w:rPr>
                <w:rFonts w:hint="eastAsia"/>
                <w:sz w:val="24"/>
                <w:szCs w:val="24"/>
              </w:rPr>
              <w:t>5.</w:t>
            </w:r>
            <w:r>
              <w:rPr>
                <w:rFonts w:ascii="Arial" w:hAnsi="Arial" w:cs="Arial"/>
                <w:color w:val="333333"/>
                <w:kern w:val="0"/>
                <w:sz w:val="24"/>
                <w:szCs w:val="24"/>
              </w:rPr>
              <w:t xml:space="preserve"> </w:t>
            </w:r>
            <w:r>
              <w:rPr>
                <w:rFonts w:ascii="Arial" w:hAnsi="Arial" w:eastAsia="宋体" w:cs="Arial"/>
                <w:color w:val="333333"/>
                <w:kern w:val="0"/>
                <w:sz w:val="24"/>
                <w:szCs w:val="24"/>
              </w:rPr>
              <w:t>职业院校通过校企合作、技术服务、社会培训、自办企业等所得收入，可按一定比例作为绩效工资来源。</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教务处、科研与合作交流处、继续教育与培训学院、各二级学院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Pr>
          <w:p>
            <w:pPr>
              <w:widowControl/>
              <w:shd w:val="clear" w:color="auto" w:fill="FFFFFF"/>
              <w:spacing w:line="360" w:lineRule="auto"/>
              <w:jc w:val="left"/>
              <w:rPr>
                <w:rFonts w:ascii="Arial" w:hAnsi="Arial" w:eastAsia="宋体" w:cs="Arial"/>
                <w:b/>
                <w:color w:val="333333"/>
                <w:kern w:val="0"/>
                <w:sz w:val="24"/>
                <w:szCs w:val="24"/>
              </w:rPr>
            </w:pPr>
            <w:r>
              <w:rPr>
                <w:rFonts w:ascii="Arial" w:hAnsi="Arial" w:eastAsia="宋体" w:cs="Arial"/>
                <w:b/>
                <w:color w:val="333333"/>
                <w:kern w:val="0"/>
                <w:sz w:val="24"/>
                <w:szCs w:val="24"/>
              </w:rPr>
              <w:t>四、建设多元办学格局</w:t>
            </w:r>
          </w:p>
          <w:p>
            <w:pPr>
              <w:rPr>
                <w:sz w:val="24"/>
                <w:szCs w:val="24"/>
              </w:rPr>
            </w:pPr>
          </w:p>
        </w:tc>
        <w:tc>
          <w:tcPr>
            <w:tcW w:w="851" w:type="dxa"/>
            <w:vMerge w:val="restart"/>
          </w:tcPr>
          <w:p>
            <w:pPr>
              <w:rPr>
                <w:sz w:val="24"/>
                <w:szCs w:val="24"/>
              </w:rPr>
            </w:pPr>
            <w:r>
              <w:rPr>
                <w:rFonts w:ascii="Arial" w:hAnsi="Arial" w:eastAsia="宋体" w:cs="Arial"/>
                <w:color w:val="333333"/>
                <w:kern w:val="0"/>
                <w:sz w:val="24"/>
                <w:szCs w:val="24"/>
              </w:rPr>
              <w:t>（十三）推动企业和社会力量举办高质量职业教育</w:t>
            </w:r>
          </w:p>
        </w:tc>
        <w:tc>
          <w:tcPr>
            <w:tcW w:w="3342" w:type="dxa"/>
          </w:tcPr>
          <w:p>
            <w:pPr>
              <w:rPr>
                <w:sz w:val="24"/>
                <w:szCs w:val="24"/>
              </w:rPr>
            </w:pPr>
            <w:r>
              <w:rPr>
                <w:rFonts w:hint="eastAsia"/>
                <w:sz w:val="24"/>
                <w:szCs w:val="24"/>
              </w:rPr>
              <w:t>1.</w:t>
            </w:r>
            <w:r>
              <w:rPr>
                <w:rFonts w:ascii="Arial" w:hAnsi="Arial" w:cs="Arial"/>
                <w:color w:val="333333"/>
                <w:kern w:val="0"/>
                <w:sz w:val="24"/>
                <w:szCs w:val="24"/>
              </w:rPr>
              <w:t xml:space="preserve"> </w:t>
            </w:r>
            <w:r>
              <w:rPr>
                <w:rFonts w:ascii="Arial" w:hAnsi="Arial" w:eastAsia="宋体" w:cs="Arial"/>
                <w:color w:val="333333"/>
                <w:kern w:val="0"/>
                <w:sz w:val="24"/>
                <w:szCs w:val="24"/>
              </w:rPr>
              <w:t>完善企业经营管理和技术人员与学校领导、骨干教师相互兼职兼薪制度。</w:t>
            </w:r>
          </w:p>
        </w:tc>
        <w:tc>
          <w:tcPr>
            <w:tcW w:w="2083" w:type="dxa"/>
          </w:tcPr>
          <w:p>
            <w:pPr>
              <w:rPr>
                <w:sz w:val="24"/>
                <w:szCs w:val="24"/>
              </w:rPr>
            </w:pPr>
          </w:p>
        </w:tc>
        <w:tc>
          <w:tcPr>
            <w:tcW w:w="2371" w:type="dxa"/>
          </w:tcPr>
          <w:p>
            <w:pPr>
              <w:rPr>
                <w:sz w:val="24"/>
                <w:szCs w:val="24"/>
              </w:rPr>
            </w:pPr>
          </w:p>
        </w:tc>
        <w:tc>
          <w:tcPr>
            <w:tcW w:w="1276" w:type="dxa"/>
            <w:vMerge w:val="restart"/>
          </w:tcPr>
          <w:p>
            <w:pPr>
              <w:rPr>
                <w:sz w:val="24"/>
                <w:szCs w:val="24"/>
              </w:rPr>
            </w:pPr>
            <w:r>
              <w:rPr>
                <w:rFonts w:hint="eastAsia"/>
                <w:sz w:val="24"/>
                <w:szCs w:val="24"/>
              </w:rPr>
              <w:t>科</w:t>
            </w:r>
          </w:p>
          <w:p>
            <w:pPr>
              <w:rPr>
                <w:sz w:val="24"/>
                <w:szCs w:val="24"/>
              </w:rPr>
            </w:pPr>
            <w:r>
              <w:rPr>
                <w:rFonts w:hint="eastAsia"/>
                <w:sz w:val="24"/>
                <w:szCs w:val="24"/>
              </w:rPr>
              <w:t>研</w:t>
            </w:r>
          </w:p>
          <w:p>
            <w:pPr>
              <w:rPr>
                <w:sz w:val="24"/>
                <w:szCs w:val="24"/>
              </w:rPr>
            </w:pPr>
            <w:r>
              <w:rPr>
                <w:rFonts w:hint="eastAsia"/>
                <w:sz w:val="24"/>
                <w:szCs w:val="24"/>
              </w:rPr>
              <w:t>与</w:t>
            </w:r>
          </w:p>
          <w:p>
            <w:pPr>
              <w:rPr>
                <w:sz w:val="24"/>
                <w:szCs w:val="24"/>
              </w:rPr>
            </w:pPr>
            <w:r>
              <w:rPr>
                <w:rFonts w:hint="eastAsia"/>
                <w:sz w:val="24"/>
                <w:szCs w:val="24"/>
              </w:rPr>
              <w:t>合</w:t>
            </w:r>
          </w:p>
          <w:p>
            <w:pPr>
              <w:rPr>
                <w:sz w:val="24"/>
                <w:szCs w:val="24"/>
              </w:rPr>
            </w:pPr>
            <w:r>
              <w:rPr>
                <w:rFonts w:hint="eastAsia"/>
                <w:sz w:val="24"/>
                <w:szCs w:val="24"/>
              </w:rPr>
              <w:t>作</w:t>
            </w:r>
          </w:p>
          <w:p>
            <w:pPr>
              <w:rPr>
                <w:sz w:val="24"/>
                <w:szCs w:val="24"/>
              </w:rPr>
            </w:pPr>
            <w:r>
              <w:rPr>
                <w:rFonts w:hint="eastAsia"/>
                <w:sz w:val="24"/>
                <w:szCs w:val="24"/>
              </w:rPr>
              <w:t>发</w:t>
            </w:r>
          </w:p>
          <w:p>
            <w:pPr>
              <w:rPr>
                <w:sz w:val="24"/>
                <w:szCs w:val="24"/>
              </w:rPr>
            </w:pPr>
            <w:r>
              <w:rPr>
                <w:rFonts w:hint="eastAsia"/>
                <w:sz w:val="24"/>
                <w:szCs w:val="24"/>
              </w:rPr>
              <w:t>展</w:t>
            </w:r>
          </w:p>
          <w:p>
            <w:pPr>
              <w:rPr>
                <w:sz w:val="24"/>
                <w:szCs w:val="24"/>
              </w:rPr>
            </w:pPr>
            <w:r>
              <w:rPr>
                <w:rFonts w:hint="eastAsia"/>
                <w:sz w:val="24"/>
                <w:szCs w:val="24"/>
              </w:rPr>
              <w:t>处</w:t>
            </w:r>
          </w:p>
        </w:tc>
        <w:tc>
          <w:tcPr>
            <w:tcW w:w="2693" w:type="dxa"/>
          </w:tcPr>
          <w:p>
            <w:pPr>
              <w:rPr>
                <w:sz w:val="24"/>
                <w:szCs w:val="24"/>
              </w:rPr>
            </w:pPr>
            <w:r>
              <w:rPr>
                <w:rFonts w:hint="eastAsia"/>
                <w:sz w:val="24"/>
                <w:szCs w:val="24"/>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rPr>
                <w:sz w:val="24"/>
                <w:szCs w:val="24"/>
              </w:rPr>
            </w:pPr>
            <w:r>
              <w:rPr>
                <w:rFonts w:hint="eastAsia"/>
                <w:sz w:val="24"/>
                <w:szCs w:val="24"/>
              </w:rPr>
              <w:t>2.</w:t>
            </w:r>
            <w:r>
              <w:rPr>
                <w:rFonts w:ascii="Arial" w:hAnsi="Arial" w:eastAsia="宋体" w:cs="Arial"/>
                <w:color w:val="333333"/>
                <w:kern w:val="0"/>
                <w:sz w:val="24"/>
                <w:szCs w:val="24"/>
              </w:rPr>
              <w:t>支持和规范社会力量兴办职业教育培训，鼓励发展股份制、混合所有制等职业院校和各类职业培训机构。</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人事处、</w:t>
            </w:r>
            <w:r>
              <w:rPr>
                <w:sz w:val="24"/>
                <w:szCs w:val="24"/>
              </w:rPr>
              <w:t>教务处</w:t>
            </w:r>
            <w:r>
              <w:rPr>
                <w:rFonts w:hint="eastAsia"/>
                <w:sz w:val="24"/>
                <w:szCs w:val="24"/>
              </w:rPr>
              <w:t>、</w:t>
            </w:r>
            <w:r>
              <w:rPr>
                <w:sz w:val="24"/>
                <w:szCs w:val="24"/>
              </w:rPr>
              <w:t>相关二级学院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restart"/>
          </w:tcPr>
          <w:p>
            <w:pPr>
              <w:widowControl/>
              <w:shd w:val="clear" w:color="auto" w:fill="FFFFFF"/>
              <w:spacing w:line="360" w:lineRule="auto"/>
              <w:jc w:val="left"/>
              <w:rPr>
                <w:rFonts w:ascii="Arial" w:hAnsi="Arial" w:cs="Arial"/>
                <w:color w:val="333333"/>
                <w:kern w:val="0"/>
                <w:sz w:val="24"/>
                <w:szCs w:val="24"/>
              </w:rPr>
            </w:pPr>
            <w:r>
              <w:rPr>
                <w:rFonts w:ascii="Arial" w:hAnsi="Arial" w:cs="Arial"/>
                <w:color w:val="333333"/>
                <w:kern w:val="0"/>
                <w:sz w:val="24"/>
                <w:szCs w:val="24"/>
              </w:rPr>
              <w:t>（十四）做优职业教育培训评价组织</w:t>
            </w:r>
          </w:p>
        </w:tc>
        <w:tc>
          <w:tcPr>
            <w:tcW w:w="3342" w:type="dxa"/>
          </w:tcPr>
          <w:p>
            <w:pPr>
              <w:rPr>
                <w:sz w:val="24"/>
                <w:szCs w:val="24"/>
              </w:rPr>
            </w:pPr>
            <w:r>
              <w:rPr>
                <w:rFonts w:hint="eastAsia"/>
                <w:sz w:val="24"/>
                <w:szCs w:val="24"/>
              </w:rPr>
              <w:t>1.</w:t>
            </w:r>
            <w:r>
              <w:rPr>
                <w:rFonts w:ascii="Arial" w:hAnsi="Arial" w:cs="Arial"/>
                <w:color w:val="333333"/>
                <w:kern w:val="0"/>
                <w:sz w:val="24"/>
                <w:szCs w:val="24"/>
              </w:rPr>
              <w:t xml:space="preserve"> </w:t>
            </w:r>
            <w:r>
              <w:rPr>
                <w:rFonts w:ascii="Arial" w:hAnsi="Arial" w:eastAsia="宋体" w:cs="Arial"/>
                <w:color w:val="333333"/>
                <w:kern w:val="0"/>
                <w:sz w:val="24"/>
                <w:szCs w:val="24"/>
              </w:rPr>
              <w:t>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w:t>
            </w:r>
          </w:p>
        </w:tc>
        <w:tc>
          <w:tcPr>
            <w:tcW w:w="2083" w:type="dxa"/>
          </w:tcPr>
          <w:p>
            <w:pPr>
              <w:rPr>
                <w:sz w:val="24"/>
                <w:szCs w:val="24"/>
              </w:rPr>
            </w:pPr>
          </w:p>
        </w:tc>
        <w:tc>
          <w:tcPr>
            <w:tcW w:w="2371" w:type="dxa"/>
          </w:tcPr>
          <w:p>
            <w:pPr>
              <w:rPr>
                <w:sz w:val="24"/>
                <w:szCs w:val="24"/>
              </w:rPr>
            </w:pPr>
          </w:p>
        </w:tc>
        <w:tc>
          <w:tcPr>
            <w:tcW w:w="1276" w:type="dxa"/>
            <w:vMerge w:val="restart"/>
          </w:tcPr>
          <w:p>
            <w:pPr>
              <w:rPr>
                <w:sz w:val="24"/>
                <w:szCs w:val="24"/>
              </w:rPr>
            </w:pPr>
            <w:r>
              <w:rPr>
                <w:rFonts w:hint="eastAsia"/>
                <w:sz w:val="24"/>
                <w:szCs w:val="24"/>
              </w:rPr>
              <w:t>继</w:t>
            </w:r>
          </w:p>
          <w:p>
            <w:pPr>
              <w:rPr>
                <w:sz w:val="24"/>
                <w:szCs w:val="24"/>
              </w:rPr>
            </w:pPr>
          </w:p>
          <w:p>
            <w:pPr>
              <w:rPr>
                <w:sz w:val="24"/>
                <w:szCs w:val="24"/>
              </w:rPr>
            </w:pPr>
            <w:r>
              <w:rPr>
                <w:rFonts w:hint="eastAsia"/>
                <w:sz w:val="24"/>
                <w:szCs w:val="24"/>
              </w:rPr>
              <w:t>续</w:t>
            </w:r>
          </w:p>
          <w:p>
            <w:pPr>
              <w:rPr>
                <w:sz w:val="24"/>
                <w:szCs w:val="24"/>
              </w:rPr>
            </w:pPr>
          </w:p>
          <w:p>
            <w:pPr>
              <w:rPr>
                <w:sz w:val="24"/>
                <w:szCs w:val="24"/>
              </w:rPr>
            </w:pPr>
            <w:r>
              <w:rPr>
                <w:rFonts w:hint="eastAsia"/>
                <w:sz w:val="24"/>
                <w:szCs w:val="24"/>
              </w:rPr>
              <w:t>教</w:t>
            </w:r>
          </w:p>
          <w:p>
            <w:pPr>
              <w:rPr>
                <w:sz w:val="24"/>
                <w:szCs w:val="24"/>
              </w:rPr>
            </w:pPr>
          </w:p>
          <w:p>
            <w:pPr>
              <w:rPr>
                <w:sz w:val="24"/>
                <w:szCs w:val="24"/>
              </w:rPr>
            </w:pPr>
            <w:r>
              <w:rPr>
                <w:rFonts w:hint="eastAsia"/>
                <w:sz w:val="24"/>
                <w:szCs w:val="24"/>
              </w:rPr>
              <w:t>育</w:t>
            </w:r>
          </w:p>
          <w:p>
            <w:pPr>
              <w:rPr>
                <w:sz w:val="24"/>
                <w:szCs w:val="24"/>
              </w:rPr>
            </w:pPr>
          </w:p>
          <w:p>
            <w:pPr>
              <w:rPr>
                <w:sz w:val="24"/>
                <w:szCs w:val="24"/>
              </w:rPr>
            </w:pPr>
            <w:r>
              <w:rPr>
                <w:rFonts w:hint="eastAsia"/>
                <w:sz w:val="24"/>
                <w:szCs w:val="24"/>
              </w:rPr>
              <w:t>与</w:t>
            </w:r>
          </w:p>
          <w:p>
            <w:pPr>
              <w:rPr>
                <w:sz w:val="24"/>
                <w:szCs w:val="24"/>
              </w:rPr>
            </w:pPr>
          </w:p>
          <w:p>
            <w:pPr>
              <w:rPr>
                <w:sz w:val="24"/>
                <w:szCs w:val="24"/>
              </w:rPr>
            </w:pPr>
            <w:r>
              <w:rPr>
                <w:rFonts w:hint="eastAsia"/>
                <w:sz w:val="24"/>
                <w:szCs w:val="24"/>
              </w:rPr>
              <w:t>培</w:t>
            </w:r>
          </w:p>
          <w:p>
            <w:pPr>
              <w:rPr>
                <w:sz w:val="24"/>
                <w:szCs w:val="24"/>
              </w:rPr>
            </w:pPr>
          </w:p>
          <w:p>
            <w:pPr>
              <w:rPr>
                <w:sz w:val="24"/>
                <w:szCs w:val="24"/>
              </w:rPr>
            </w:pPr>
            <w:r>
              <w:rPr>
                <w:rFonts w:hint="eastAsia"/>
                <w:sz w:val="24"/>
                <w:szCs w:val="24"/>
              </w:rPr>
              <w:t>训</w:t>
            </w:r>
          </w:p>
          <w:p>
            <w:pPr>
              <w:rPr>
                <w:sz w:val="24"/>
                <w:szCs w:val="24"/>
              </w:rPr>
            </w:pPr>
          </w:p>
          <w:p>
            <w:pPr>
              <w:rPr>
                <w:sz w:val="24"/>
                <w:szCs w:val="24"/>
              </w:rPr>
            </w:pPr>
            <w:r>
              <w:rPr>
                <w:rFonts w:hint="eastAsia"/>
                <w:sz w:val="24"/>
                <w:szCs w:val="24"/>
              </w:rPr>
              <w:t>学</w:t>
            </w:r>
          </w:p>
          <w:p>
            <w:pPr>
              <w:rPr>
                <w:sz w:val="24"/>
                <w:szCs w:val="24"/>
              </w:rPr>
            </w:pPr>
            <w:r>
              <w:rPr>
                <w:rFonts w:hint="eastAsia"/>
                <w:sz w:val="24"/>
                <w:szCs w:val="24"/>
              </w:rPr>
              <w:t>院</w:t>
            </w:r>
          </w:p>
        </w:tc>
        <w:tc>
          <w:tcPr>
            <w:tcW w:w="2693" w:type="dxa"/>
          </w:tcPr>
          <w:p>
            <w:pPr>
              <w:rPr>
                <w:sz w:val="24"/>
                <w:szCs w:val="24"/>
              </w:rPr>
            </w:pPr>
            <w:r>
              <w:rPr>
                <w:sz w:val="24"/>
                <w:szCs w:val="24"/>
              </w:rPr>
              <w:t>相关二级学院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widowControl/>
              <w:shd w:val="clear" w:color="auto" w:fill="FFFFFF"/>
              <w:adjustRightInd w:val="0"/>
              <w:snapToGrid w:val="0"/>
              <w:jc w:val="left"/>
              <w:rPr>
                <w:rFonts w:ascii="Arial" w:hAnsi="Arial" w:cs="Arial"/>
                <w:color w:val="333333"/>
                <w:kern w:val="0"/>
                <w:sz w:val="24"/>
                <w:szCs w:val="24"/>
              </w:rPr>
            </w:pPr>
            <w:r>
              <w:rPr>
                <w:rFonts w:hint="eastAsia"/>
                <w:sz w:val="24"/>
                <w:szCs w:val="24"/>
              </w:rPr>
              <w:t>2.</w:t>
            </w:r>
            <w:r>
              <w:rPr>
                <w:rFonts w:ascii="Arial" w:hAnsi="Arial" w:cs="Arial"/>
                <w:color w:val="333333"/>
                <w:kern w:val="0"/>
                <w:sz w:val="24"/>
                <w:szCs w:val="24"/>
              </w:rPr>
              <w:t xml:space="preserve"> </w:t>
            </w:r>
            <w:r>
              <w:rPr>
                <w:rFonts w:ascii="Arial" w:hAnsi="Arial" w:eastAsia="宋体" w:cs="Arial"/>
                <w:color w:val="333333"/>
                <w:kern w:val="0"/>
                <w:sz w:val="24"/>
                <w:szCs w:val="24"/>
              </w:rPr>
              <w:t>培训评价组织应对接职业标准，与国际先进标准接轨，按有关规定开发职业技能等级标准，负责实施职业技能考核、评价和证书发放。</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Pr>
          <w:p>
            <w:pPr>
              <w:widowControl/>
              <w:shd w:val="clear" w:color="auto" w:fill="FFFFFF"/>
              <w:spacing w:line="360" w:lineRule="auto"/>
              <w:jc w:val="left"/>
              <w:rPr>
                <w:rFonts w:ascii="Arial" w:hAnsi="Arial" w:eastAsia="宋体" w:cs="Arial"/>
                <w:b/>
                <w:color w:val="333333"/>
                <w:kern w:val="0"/>
                <w:sz w:val="24"/>
                <w:szCs w:val="24"/>
              </w:rPr>
            </w:pPr>
            <w:r>
              <w:rPr>
                <w:rFonts w:ascii="Arial" w:hAnsi="Arial" w:eastAsia="宋体" w:cs="Arial"/>
                <w:b/>
                <w:color w:val="333333"/>
                <w:kern w:val="0"/>
                <w:sz w:val="24"/>
                <w:szCs w:val="24"/>
              </w:rPr>
              <w:t>五、完善技术技能人才保障政策</w:t>
            </w:r>
          </w:p>
          <w:p>
            <w:pPr>
              <w:rPr>
                <w:sz w:val="24"/>
                <w:szCs w:val="24"/>
              </w:rPr>
            </w:pPr>
          </w:p>
        </w:tc>
        <w:tc>
          <w:tcPr>
            <w:tcW w:w="851" w:type="dxa"/>
            <w:vMerge w:val="restart"/>
          </w:tcPr>
          <w:p>
            <w:pPr>
              <w:rPr>
                <w:sz w:val="24"/>
                <w:szCs w:val="24"/>
              </w:rPr>
            </w:pPr>
            <w:r>
              <w:rPr>
                <w:rFonts w:ascii="Arial" w:hAnsi="Arial" w:eastAsia="宋体" w:cs="Arial"/>
                <w:color w:val="333333"/>
                <w:kern w:val="0"/>
                <w:sz w:val="24"/>
                <w:szCs w:val="24"/>
              </w:rPr>
              <w:t>（十五）提高技术技能人才待遇水平</w:t>
            </w:r>
          </w:p>
        </w:tc>
        <w:tc>
          <w:tcPr>
            <w:tcW w:w="3342" w:type="dxa"/>
          </w:tcPr>
          <w:p>
            <w:pPr>
              <w:rPr>
                <w:color w:val="FF0000"/>
                <w:sz w:val="24"/>
                <w:szCs w:val="24"/>
              </w:rPr>
            </w:pPr>
            <w:r>
              <w:rPr>
                <w:rFonts w:hint="eastAsia"/>
                <w:color w:val="000000" w:themeColor="text1"/>
                <w:sz w:val="24"/>
                <w:szCs w:val="24"/>
              </w:rPr>
              <w:t>1.</w:t>
            </w:r>
            <w:r>
              <w:rPr>
                <w:rFonts w:ascii="Arial" w:hAnsi="Arial" w:cs="Arial"/>
                <w:color w:val="000000" w:themeColor="text1"/>
                <w:kern w:val="0"/>
                <w:sz w:val="24"/>
                <w:szCs w:val="24"/>
              </w:rPr>
              <w:t xml:space="preserve"> </w:t>
            </w:r>
            <w:r>
              <w:rPr>
                <w:rFonts w:ascii="Arial" w:hAnsi="Arial" w:eastAsia="宋体" w:cs="Arial"/>
                <w:color w:val="000000" w:themeColor="text1"/>
                <w:kern w:val="0"/>
                <w:sz w:val="24"/>
                <w:szCs w:val="24"/>
              </w:rPr>
              <w:t>建立国家技术技能大师库，鼓励技术技能大师建立大师工作室，并按规定给予政策和资金支持，支持技术技能大师到职业院校担任兼职教师，参与国家重大工程项目联合攻关</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人事处</w:t>
            </w:r>
          </w:p>
        </w:tc>
        <w:tc>
          <w:tcPr>
            <w:tcW w:w="2693" w:type="dxa"/>
          </w:tcPr>
          <w:p>
            <w:pPr>
              <w:rPr>
                <w:sz w:val="24"/>
                <w:szCs w:val="24"/>
              </w:rPr>
            </w:pPr>
            <w:r>
              <w:rPr>
                <w:rFonts w:hint="eastAsia"/>
                <w:sz w:val="24"/>
                <w:szCs w:val="24"/>
              </w:rPr>
              <w:t>科研与合作发展处、教务处、各二级学院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rPr>
                <w:sz w:val="24"/>
                <w:szCs w:val="24"/>
              </w:rPr>
            </w:pPr>
            <w:r>
              <w:rPr>
                <w:rFonts w:hint="eastAsia"/>
                <w:sz w:val="24"/>
                <w:szCs w:val="24"/>
              </w:rPr>
              <w:t>2.</w:t>
            </w:r>
            <w:r>
              <w:rPr>
                <w:rFonts w:ascii="Arial" w:hAnsi="Arial" w:cs="Arial"/>
                <w:color w:val="333333"/>
                <w:kern w:val="0"/>
                <w:sz w:val="24"/>
                <w:szCs w:val="24"/>
              </w:rPr>
              <w:t xml:space="preserve"> </w:t>
            </w:r>
            <w:r>
              <w:rPr>
                <w:rFonts w:ascii="Arial" w:hAnsi="Arial" w:eastAsia="宋体" w:cs="Arial"/>
                <w:color w:val="333333"/>
                <w:kern w:val="0"/>
                <w:sz w:val="24"/>
                <w:szCs w:val="24"/>
              </w:rPr>
              <w:t>按照国家有关规定加大对职业院校参加有关技能大赛成绩突出毕业生的表彰奖励力度。</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教务处</w:t>
            </w:r>
          </w:p>
        </w:tc>
        <w:tc>
          <w:tcPr>
            <w:tcW w:w="2693" w:type="dxa"/>
          </w:tcPr>
          <w:p>
            <w:pPr>
              <w:rPr>
                <w:sz w:val="24"/>
                <w:szCs w:val="24"/>
              </w:rPr>
            </w:pPr>
            <w:r>
              <w:rPr>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sz w:val="24"/>
                <w:szCs w:val="24"/>
              </w:rPr>
            </w:pPr>
          </w:p>
        </w:tc>
        <w:tc>
          <w:tcPr>
            <w:tcW w:w="3342" w:type="dxa"/>
          </w:tcPr>
          <w:p>
            <w:pPr>
              <w:widowControl/>
              <w:shd w:val="clear" w:color="auto" w:fill="FFFFFF"/>
              <w:adjustRightInd w:val="0"/>
              <w:snapToGrid w:val="0"/>
              <w:jc w:val="left"/>
              <w:rPr>
                <w:rFonts w:ascii="Arial" w:hAnsi="Arial" w:cs="Arial"/>
                <w:color w:val="333333"/>
                <w:kern w:val="0"/>
                <w:sz w:val="24"/>
                <w:szCs w:val="24"/>
              </w:rPr>
            </w:pPr>
            <w:r>
              <w:rPr>
                <w:rFonts w:hint="eastAsia"/>
                <w:sz w:val="24"/>
                <w:szCs w:val="24"/>
              </w:rPr>
              <w:t>3.</w:t>
            </w:r>
            <w:r>
              <w:rPr>
                <w:rFonts w:ascii="Arial" w:hAnsi="Arial" w:cs="Arial"/>
                <w:color w:val="333333"/>
                <w:kern w:val="0"/>
                <w:sz w:val="24"/>
                <w:szCs w:val="24"/>
              </w:rPr>
              <w:t xml:space="preserve"> </w:t>
            </w:r>
            <w:r>
              <w:rPr>
                <w:rFonts w:ascii="Arial" w:hAnsi="Arial" w:eastAsia="宋体" w:cs="Arial"/>
                <w:color w:val="333333"/>
                <w:kern w:val="0"/>
                <w:sz w:val="24"/>
                <w:szCs w:val="24"/>
              </w:rPr>
              <w:t>办好职业教育活动周和世界青年技能日宣传活动，</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党委宣传部</w:t>
            </w:r>
          </w:p>
        </w:tc>
        <w:tc>
          <w:tcPr>
            <w:tcW w:w="2693" w:type="dxa"/>
          </w:tcPr>
          <w:p>
            <w:pPr>
              <w:rPr>
                <w:sz w:val="24"/>
                <w:szCs w:val="24"/>
              </w:rPr>
            </w:pPr>
            <w:r>
              <w:rPr>
                <w:rFonts w:hint="eastAsia"/>
                <w:sz w:val="24"/>
                <w:szCs w:val="24"/>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tcPr>
          <w:p>
            <w:pPr>
              <w:rPr>
                <w:sz w:val="24"/>
                <w:szCs w:val="24"/>
              </w:rPr>
            </w:pPr>
          </w:p>
        </w:tc>
        <w:tc>
          <w:tcPr>
            <w:tcW w:w="3342" w:type="dxa"/>
          </w:tcPr>
          <w:p>
            <w:pPr>
              <w:widowControl/>
              <w:shd w:val="clear" w:color="auto" w:fill="FFFFFF"/>
              <w:adjustRightInd w:val="0"/>
              <w:snapToGrid w:val="0"/>
              <w:jc w:val="left"/>
              <w:rPr>
                <w:sz w:val="24"/>
                <w:szCs w:val="24"/>
              </w:rPr>
            </w:pPr>
            <w:r>
              <w:rPr>
                <w:rFonts w:hint="eastAsia" w:ascii="Arial" w:hAnsi="Arial" w:eastAsia="宋体" w:cs="Arial"/>
                <w:color w:val="333333"/>
                <w:kern w:val="0"/>
                <w:sz w:val="24"/>
                <w:szCs w:val="24"/>
              </w:rPr>
              <w:t>4、</w:t>
            </w:r>
            <w:r>
              <w:rPr>
                <w:rFonts w:ascii="Arial" w:hAnsi="Arial" w:eastAsia="宋体" w:cs="Arial"/>
                <w:color w:val="333333"/>
                <w:kern w:val="0"/>
                <w:sz w:val="24"/>
                <w:szCs w:val="24"/>
              </w:rPr>
              <w:t>深入开展“大国工匠进校园”、“劳模进校园”、“优秀职校生校园分享”等活动，宣传展示大国工匠、能工巧匠和高素质劳动者的事迹和形象，培育和传承好工匠精神。</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党委宣传部</w:t>
            </w: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restart"/>
          </w:tcPr>
          <w:p>
            <w:pPr>
              <w:rPr>
                <w:sz w:val="24"/>
                <w:szCs w:val="24"/>
              </w:rPr>
            </w:pPr>
            <w:r>
              <w:rPr>
                <w:rFonts w:ascii="Arial" w:hAnsi="Arial" w:eastAsia="宋体" w:cs="Arial"/>
                <w:color w:val="333333"/>
                <w:kern w:val="0"/>
                <w:sz w:val="24"/>
                <w:szCs w:val="24"/>
              </w:rPr>
              <w:t>（十六）健全经费投入机制</w:t>
            </w:r>
          </w:p>
        </w:tc>
        <w:tc>
          <w:tcPr>
            <w:tcW w:w="3342" w:type="dxa"/>
          </w:tcPr>
          <w:p>
            <w:pPr>
              <w:rPr>
                <w:sz w:val="24"/>
                <w:szCs w:val="24"/>
              </w:rPr>
            </w:pPr>
            <w:r>
              <w:rPr>
                <w:rFonts w:hint="eastAsia"/>
                <w:sz w:val="24"/>
                <w:szCs w:val="24"/>
              </w:rPr>
              <w:t>1.</w:t>
            </w:r>
            <w:r>
              <w:rPr>
                <w:rFonts w:ascii="Arial" w:hAnsi="Arial" w:cs="Arial"/>
                <w:color w:val="333333"/>
                <w:kern w:val="0"/>
                <w:sz w:val="24"/>
                <w:szCs w:val="24"/>
              </w:rPr>
              <w:t xml:space="preserve"> </w:t>
            </w:r>
            <w:r>
              <w:rPr>
                <w:rFonts w:ascii="Arial" w:hAnsi="Arial" w:eastAsia="宋体" w:cs="Arial"/>
                <w:color w:val="333333"/>
                <w:kern w:val="0"/>
                <w:sz w:val="24"/>
                <w:szCs w:val="24"/>
              </w:rPr>
              <w:t>各地在继续巩固落实好高等职业教育生均财政拨款水平达到12000元的基础上，根据发展需要和财力可能逐步提高拨款水平。</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财务与资产管理处、审计处</w:t>
            </w:r>
          </w:p>
        </w:tc>
        <w:tc>
          <w:tcPr>
            <w:tcW w:w="2693"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widowControl/>
              <w:shd w:val="clear" w:color="auto" w:fill="FFFFFF"/>
              <w:adjustRightInd w:val="0"/>
              <w:snapToGrid w:val="0"/>
              <w:jc w:val="left"/>
              <w:rPr>
                <w:rFonts w:ascii="Arial" w:hAnsi="Arial" w:eastAsia="宋体" w:cs="Arial"/>
                <w:color w:val="333333"/>
                <w:kern w:val="0"/>
                <w:sz w:val="24"/>
                <w:szCs w:val="24"/>
              </w:rPr>
            </w:pPr>
            <w:r>
              <w:rPr>
                <w:rFonts w:hint="eastAsia"/>
                <w:sz w:val="24"/>
                <w:szCs w:val="24"/>
              </w:rPr>
              <w:t>2.</w:t>
            </w:r>
            <w:r>
              <w:rPr>
                <w:rFonts w:ascii="Arial" w:hAnsi="Arial" w:cs="Arial"/>
                <w:color w:val="333333"/>
                <w:kern w:val="0"/>
                <w:sz w:val="24"/>
                <w:szCs w:val="24"/>
              </w:rPr>
              <w:t xml:space="preserve"> </w:t>
            </w:r>
            <w:r>
              <w:rPr>
                <w:rFonts w:ascii="Arial" w:hAnsi="Arial" w:eastAsia="宋体" w:cs="Arial"/>
                <w:color w:val="333333"/>
                <w:kern w:val="0"/>
                <w:sz w:val="24"/>
                <w:szCs w:val="24"/>
              </w:rPr>
              <w:t>进一步扩大职业院校助学金覆盖面，完善补助标准动态调整机制，落实对建档立卡等家庭经济困难学生的倾斜政策，健全职业教育奖学金制度。</w:t>
            </w:r>
          </w:p>
          <w:p>
            <w:pPr>
              <w:rPr>
                <w:sz w:val="24"/>
                <w:szCs w:val="24"/>
              </w:rPr>
            </w:pP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学生处</w:t>
            </w:r>
          </w:p>
        </w:tc>
        <w:tc>
          <w:tcPr>
            <w:tcW w:w="2693" w:type="dxa"/>
          </w:tcPr>
          <w:p>
            <w:pPr>
              <w:rPr>
                <w:sz w:val="24"/>
                <w:szCs w:val="24"/>
              </w:rPr>
            </w:pPr>
            <w:r>
              <w:rPr>
                <w:rFonts w:hint="eastAsia"/>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Pr>
          <w:p>
            <w:pPr>
              <w:widowControl/>
              <w:shd w:val="clear" w:color="auto" w:fill="FFFFFF"/>
              <w:spacing w:line="360" w:lineRule="auto"/>
              <w:jc w:val="left"/>
              <w:rPr>
                <w:rFonts w:ascii="Arial" w:hAnsi="Arial" w:eastAsia="宋体" w:cs="Arial"/>
                <w:b/>
                <w:color w:val="333333"/>
                <w:kern w:val="0"/>
                <w:sz w:val="24"/>
                <w:szCs w:val="24"/>
              </w:rPr>
            </w:pPr>
            <w:r>
              <w:rPr>
                <w:rFonts w:ascii="Arial" w:hAnsi="Arial" w:eastAsia="宋体" w:cs="Arial"/>
                <w:b/>
                <w:color w:val="333333"/>
                <w:kern w:val="0"/>
                <w:sz w:val="24"/>
                <w:szCs w:val="24"/>
              </w:rPr>
              <w:t>六、加强职业教育办学质量督导评价</w:t>
            </w:r>
          </w:p>
          <w:p>
            <w:pPr>
              <w:rPr>
                <w:sz w:val="24"/>
                <w:szCs w:val="24"/>
              </w:rPr>
            </w:pPr>
          </w:p>
        </w:tc>
        <w:tc>
          <w:tcPr>
            <w:tcW w:w="851" w:type="dxa"/>
            <w:vMerge w:val="restart"/>
          </w:tcPr>
          <w:p>
            <w:pPr>
              <w:rPr>
                <w:rFonts w:ascii="Arial" w:hAnsi="Arial" w:cs="Arial"/>
                <w:color w:val="333333"/>
                <w:kern w:val="0"/>
                <w:sz w:val="24"/>
                <w:szCs w:val="24"/>
              </w:rPr>
            </w:pPr>
            <w:r>
              <w:rPr>
                <w:rFonts w:ascii="Arial" w:hAnsi="Arial" w:eastAsia="宋体" w:cs="Arial"/>
                <w:color w:val="333333"/>
                <w:kern w:val="0"/>
                <w:sz w:val="24"/>
                <w:szCs w:val="24"/>
              </w:rPr>
              <w:t>（十七）建立健全职业教育质量评价和督导评估制度</w:t>
            </w:r>
          </w:p>
        </w:tc>
        <w:tc>
          <w:tcPr>
            <w:tcW w:w="3342" w:type="dxa"/>
          </w:tcPr>
          <w:p>
            <w:pPr>
              <w:rPr>
                <w:sz w:val="24"/>
                <w:szCs w:val="24"/>
              </w:rPr>
            </w:pPr>
            <w:r>
              <w:rPr>
                <w:rFonts w:hint="eastAsia"/>
                <w:sz w:val="24"/>
                <w:szCs w:val="24"/>
              </w:rPr>
              <w:t>1.</w:t>
            </w:r>
            <w:r>
              <w:rPr>
                <w:rFonts w:ascii="Arial" w:hAnsi="Arial" w:cs="Arial"/>
                <w:color w:val="333333"/>
                <w:kern w:val="0"/>
                <w:sz w:val="24"/>
                <w:szCs w:val="24"/>
              </w:rPr>
              <w:t xml:space="preserve"> </w:t>
            </w:r>
            <w:r>
              <w:rPr>
                <w:rFonts w:ascii="Arial" w:hAnsi="Arial" w:eastAsia="宋体" w:cs="Arial"/>
                <w:color w:val="333333"/>
                <w:kern w:val="0"/>
                <w:sz w:val="24"/>
                <w:szCs w:val="24"/>
              </w:rPr>
              <w:t>以学习者的职业道德、技术技能水平和就业质量，以及产教融合、校企合作水平为核心，建立职业教育质量评价体系。</w:t>
            </w:r>
          </w:p>
        </w:tc>
        <w:tc>
          <w:tcPr>
            <w:tcW w:w="2083" w:type="dxa"/>
          </w:tcPr>
          <w:p>
            <w:pPr>
              <w:rPr>
                <w:sz w:val="24"/>
                <w:szCs w:val="24"/>
              </w:rPr>
            </w:pPr>
          </w:p>
        </w:tc>
        <w:tc>
          <w:tcPr>
            <w:tcW w:w="2371" w:type="dxa"/>
          </w:tcPr>
          <w:p>
            <w:pPr>
              <w:rPr>
                <w:sz w:val="24"/>
                <w:szCs w:val="24"/>
              </w:rPr>
            </w:pPr>
          </w:p>
        </w:tc>
        <w:tc>
          <w:tcPr>
            <w:tcW w:w="1276" w:type="dxa"/>
            <w:vMerge w:val="restart"/>
          </w:tcPr>
          <w:p>
            <w:pPr>
              <w:rPr>
                <w:sz w:val="24"/>
                <w:szCs w:val="24"/>
              </w:rPr>
            </w:pPr>
            <w:r>
              <w:rPr>
                <w:rFonts w:hint="eastAsia"/>
                <w:sz w:val="24"/>
                <w:szCs w:val="24"/>
              </w:rPr>
              <w:t>发</w:t>
            </w:r>
          </w:p>
          <w:p>
            <w:pPr>
              <w:rPr>
                <w:sz w:val="24"/>
                <w:szCs w:val="24"/>
              </w:rPr>
            </w:pPr>
          </w:p>
          <w:p>
            <w:pPr>
              <w:rPr>
                <w:sz w:val="24"/>
                <w:szCs w:val="24"/>
              </w:rPr>
            </w:pPr>
            <w:r>
              <w:rPr>
                <w:rFonts w:hint="eastAsia"/>
                <w:sz w:val="24"/>
                <w:szCs w:val="24"/>
              </w:rPr>
              <w:t>展</w:t>
            </w:r>
          </w:p>
          <w:p>
            <w:pPr>
              <w:rPr>
                <w:sz w:val="24"/>
                <w:szCs w:val="24"/>
              </w:rPr>
            </w:pPr>
          </w:p>
          <w:p>
            <w:pPr>
              <w:rPr>
                <w:sz w:val="24"/>
                <w:szCs w:val="24"/>
              </w:rPr>
            </w:pPr>
            <w:r>
              <w:rPr>
                <w:rFonts w:hint="eastAsia"/>
                <w:sz w:val="24"/>
                <w:szCs w:val="24"/>
              </w:rPr>
              <w:t>规</w:t>
            </w:r>
          </w:p>
          <w:p>
            <w:pPr>
              <w:rPr>
                <w:sz w:val="24"/>
                <w:szCs w:val="24"/>
              </w:rPr>
            </w:pPr>
          </w:p>
          <w:p>
            <w:pPr>
              <w:rPr>
                <w:sz w:val="24"/>
                <w:szCs w:val="24"/>
              </w:rPr>
            </w:pPr>
            <w:r>
              <w:rPr>
                <w:rFonts w:hint="eastAsia"/>
                <w:sz w:val="24"/>
                <w:szCs w:val="24"/>
              </w:rPr>
              <w:t>划</w:t>
            </w:r>
          </w:p>
          <w:p>
            <w:pPr>
              <w:rPr>
                <w:sz w:val="24"/>
                <w:szCs w:val="24"/>
              </w:rPr>
            </w:pPr>
          </w:p>
          <w:p>
            <w:pPr>
              <w:rPr>
                <w:sz w:val="24"/>
                <w:szCs w:val="24"/>
              </w:rPr>
            </w:pPr>
            <w:r>
              <w:rPr>
                <w:rFonts w:hint="eastAsia"/>
                <w:sz w:val="24"/>
                <w:szCs w:val="24"/>
              </w:rPr>
              <w:t>与</w:t>
            </w:r>
          </w:p>
          <w:p>
            <w:pPr>
              <w:rPr>
                <w:sz w:val="24"/>
                <w:szCs w:val="24"/>
              </w:rPr>
            </w:pPr>
          </w:p>
          <w:p>
            <w:pPr>
              <w:rPr>
                <w:sz w:val="24"/>
                <w:szCs w:val="24"/>
              </w:rPr>
            </w:pPr>
            <w:r>
              <w:rPr>
                <w:rFonts w:hint="eastAsia"/>
                <w:sz w:val="24"/>
                <w:szCs w:val="24"/>
              </w:rPr>
              <w:t>质</w:t>
            </w:r>
          </w:p>
          <w:p>
            <w:pPr>
              <w:rPr>
                <w:sz w:val="24"/>
                <w:szCs w:val="24"/>
              </w:rPr>
            </w:pPr>
          </w:p>
          <w:p>
            <w:pPr>
              <w:rPr>
                <w:sz w:val="24"/>
                <w:szCs w:val="24"/>
              </w:rPr>
            </w:pPr>
            <w:r>
              <w:rPr>
                <w:rFonts w:hint="eastAsia"/>
                <w:sz w:val="24"/>
                <w:szCs w:val="24"/>
              </w:rPr>
              <w:t>量</w:t>
            </w:r>
          </w:p>
          <w:p>
            <w:pPr>
              <w:rPr>
                <w:sz w:val="24"/>
                <w:szCs w:val="24"/>
              </w:rPr>
            </w:pPr>
          </w:p>
          <w:p>
            <w:pPr>
              <w:rPr>
                <w:sz w:val="24"/>
                <w:szCs w:val="24"/>
              </w:rPr>
            </w:pPr>
            <w:r>
              <w:rPr>
                <w:rFonts w:hint="eastAsia"/>
                <w:sz w:val="24"/>
                <w:szCs w:val="24"/>
              </w:rPr>
              <w:t>保</w:t>
            </w:r>
          </w:p>
          <w:p>
            <w:pPr>
              <w:rPr>
                <w:sz w:val="24"/>
                <w:szCs w:val="24"/>
              </w:rPr>
            </w:pPr>
          </w:p>
          <w:p>
            <w:pPr>
              <w:rPr>
                <w:sz w:val="24"/>
                <w:szCs w:val="24"/>
              </w:rPr>
            </w:pPr>
            <w:r>
              <w:rPr>
                <w:rFonts w:hint="eastAsia"/>
                <w:sz w:val="24"/>
                <w:szCs w:val="24"/>
              </w:rPr>
              <w:t>障</w:t>
            </w:r>
          </w:p>
          <w:p>
            <w:pPr>
              <w:rPr>
                <w:sz w:val="24"/>
                <w:szCs w:val="24"/>
              </w:rPr>
            </w:pPr>
          </w:p>
          <w:p>
            <w:pPr>
              <w:rPr>
                <w:sz w:val="24"/>
                <w:szCs w:val="24"/>
              </w:rPr>
            </w:pPr>
            <w:r>
              <w:rPr>
                <w:rFonts w:hint="eastAsia"/>
                <w:sz w:val="24"/>
                <w:szCs w:val="24"/>
              </w:rPr>
              <w:t>处</w:t>
            </w:r>
          </w:p>
          <w:p>
            <w:pPr>
              <w:rPr>
                <w:sz w:val="24"/>
                <w:szCs w:val="24"/>
              </w:rPr>
            </w:pPr>
          </w:p>
          <w:p>
            <w:pPr>
              <w:rPr>
                <w:sz w:val="24"/>
                <w:szCs w:val="24"/>
              </w:rPr>
            </w:pPr>
          </w:p>
        </w:tc>
        <w:tc>
          <w:tcPr>
            <w:tcW w:w="2693" w:type="dxa"/>
          </w:tcPr>
          <w:p>
            <w:pPr>
              <w:rPr>
                <w:sz w:val="24"/>
                <w:szCs w:val="24"/>
              </w:rPr>
            </w:pPr>
            <w:r>
              <w:rPr>
                <w:rFonts w:hint="eastAsia"/>
                <w:sz w:val="24"/>
                <w:szCs w:val="24"/>
              </w:rPr>
              <w:t>教务处、党委宣传部、招生就业处，学生处、科研与合作交流处、各二级学院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rPr>
                <w:sz w:val="24"/>
                <w:szCs w:val="24"/>
              </w:rPr>
            </w:pPr>
            <w:r>
              <w:rPr>
                <w:rFonts w:hint="eastAsia"/>
                <w:sz w:val="24"/>
                <w:szCs w:val="24"/>
              </w:rPr>
              <w:t>2.</w:t>
            </w:r>
            <w:r>
              <w:rPr>
                <w:rFonts w:ascii="Arial" w:hAnsi="Arial" w:cs="Arial"/>
                <w:color w:val="333333"/>
                <w:kern w:val="0"/>
                <w:sz w:val="24"/>
                <w:szCs w:val="24"/>
              </w:rPr>
              <w:t xml:space="preserve"> </w:t>
            </w:r>
            <w:r>
              <w:rPr>
                <w:rFonts w:ascii="Arial" w:hAnsi="Arial" w:eastAsia="宋体" w:cs="Arial"/>
                <w:color w:val="333333"/>
                <w:kern w:val="0"/>
                <w:sz w:val="24"/>
                <w:szCs w:val="24"/>
              </w:rPr>
              <w:t>定期对职业技能等级证书有关工作进行“双随机、一公开”的抽查和监督，从2019年起，对培训评价组织行为和职业院校培训质量进行监测和评估。</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继续教育与培训学院</w:t>
            </w:r>
          </w:p>
          <w:p>
            <w:pPr>
              <w:pStyle w:val="4"/>
              <w:rPr>
                <w:rFonts w:asciiTheme="minorHAnsi" w:hAnsiTheme="minorHAnsi" w:eastAsiaTheme="minorEastAsia" w:cstheme="minorBidi"/>
                <w:b w:val="0"/>
                <w:bCs w:val="0"/>
                <w:sz w:val="24"/>
                <w:szCs w:val="24"/>
              </w:rPr>
            </w:pPr>
            <w:r>
              <w:rPr>
                <w:rFonts w:hint="eastAsia" w:asciiTheme="minorHAnsi" w:hAnsiTheme="minorHAnsi" w:eastAsiaTheme="minorEastAsia" w:cstheme="minorBidi"/>
                <w:b w:val="0"/>
                <w:bCs w:val="0"/>
                <w:sz w:val="24"/>
                <w:szCs w:val="24"/>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rPr>
                <w:sz w:val="24"/>
                <w:szCs w:val="24"/>
              </w:rPr>
            </w:pPr>
            <w:r>
              <w:rPr>
                <w:rFonts w:hint="eastAsia"/>
                <w:sz w:val="24"/>
                <w:szCs w:val="24"/>
              </w:rPr>
              <w:t>3.</w:t>
            </w:r>
            <w:r>
              <w:rPr>
                <w:rFonts w:ascii="Arial" w:hAnsi="Arial" w:cs="Arial"/>
                <w:color w:val="333333"/>
                <w:kern w:val="0"/>
                <w:sz w:val="24"/>
                <w:szCs w:val="24"/>
              </w:rPr>
              <w:t xml:space="preserve"> </w:t>
            </w:r>
            <w:r>
              <w:rPr>
                <w:rFonts w:ascii="Arial" w:hAnsi="Arial" w:eastAsia="宋体" w:cs="Arial"/>
                <w:color w:val="333333"/>
                <w:kern w:val="0"/>
                <w:sz w:val="24"/>
                <w:szCs w:val="24"/>
              </w:rPr>
              <w:t>实施职业教育质量年度报告制度，报告向社会公开。</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教务处、科研与合作交流处、国际合作交流处、学生处、各二级学院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rPr>
                <w:sz w:val="24"/>
                <w:szCs w:val="24"/>
              </w:rPr>
            </w:pPr>
            <w:r>
              <w:rPr>
                <w:rFonts w:hint="eastAsia"/>
                <w:sz w:val="24"/>
                <w:szCs w:val="24"/>
              </w:rPr>
              <w:t>4.</w:t>
            </w:r>
            <w:r>
              <w:rPr>
                <w:rFonts w:ascii="Arial" w:hAnsi="Arial" w:cs="Arial"/>
                <w:color w:val="333333"/>
                <w:kern w:val="0"/>
                <w:sz w:val="24"/>
                <w:szCs w:val="24"/>
              </w:rPr>
              <w:t xml:space="preserve"> </w:t>
            </w:r>
            <w:r>
              <w:rPr>
                <w:rFonts w:ascii="Arial" w:hAnsi="Arial" w:eastAsia="宋体" w:cs="Arial"/>
                <w:color w:val="333333"/>
                <w:kern w:val="0"/>
                <w:sz w:val="24"/>
                <w:szCs w:val="24"/>
              </w:rPr>
              <w:t>完善政府、行业、企业、职业院校等共同参与的质量评价机制，积极支持第三方机构开展评估，将考核结果作为政策支持、绩效考核、表彰奖励的重要依据。</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rFonts w:hint="eastAsia"/>
                <w:sz w:val="24"/>
                <w:szCs w:val="24"/>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rPr>
                <w:sz w:val="24"/>
                <w:szCs w:val="24"/>
              </w:rPr>
            </w:pPr>
            <w:r>
              <w:rPr>
                <w:rFonts w:hint="eastAsia"/>
                <w:sz w:val="24"/>
                <w:szCs w:val="24"/>
              </w:rPr>
              <w:t>5.</w:t>
            </w:r>
            <w:r>
              <w:rPr>
                <w:rFonts w:ascii="Arial" w:hAnsi="Arial" w:cs="Arial"/>
                <w:color w:val="333333"/>
                <w:kern w:val="0"/>
                <w:sz w:val="24"/>
                <w:szCs w:val="24"/>
              </w:rPr>
              <w:t xml:space="preserve"> </w:t>
            </w:r>
            <w:r>
              <w:rPr>
                <w:rFonts w:ascii="Arial" w:hAnsi="Arial" w:eastAsia="宋体" w:cs="Arial"/>
                <w:color w:val="333333"/>
                <w:kern w:val="0"/>
                <w:sz w:val="24"/>
                <w:szCs w:val="24"/>
              </w:rPr>
              <w:t>完善职业教育督导评估办法，建立职业教育定期督导评估和专项督导评估制度，落实督导报告、公报、约谈、限期整改、奖惩等制度。</w:t>
            </w:r>
          </w:p>
        </w:tc>
        <w:tc>
          <w:tcPr>
            <w:tcW w:w="2083" w:type="dxa"/>
          </w:tcPr>
          <w:p>
            <w:pPr>
              <w:rPr>
                <w:sz w:val="24"/>
                <w:szCs w:val="24"/>
              </w:rPr>
            </w:pPr>
          </w:p>
        </w:tc>
        <w:tc>
          <w:tcPr>
            <w:tcW w:w="2371" w:type="dxa"/>
          </w:tcPr>
          <w:p>
            <w:pPr>
              <w:rPr>
                <w:sz w:val="24"/>
                <w:szCs w:val="24"/>
              </w:rPr>
            </w:pPr>
          </w:p>
        </w:tc>
        <w:tc>
          <w:tcPr>
            <w:tcW w:w="1276" w:type="dxa"/>
            <w:vMerge w:val="continue"/>
          </w:tcPr>
          <w:p>
            <w:pPr>
              <w:rPr>
                <w:sz w:val="24"/>
                <w:szCs w:val="24"/>
              </w:rPr>
            </w:pPr>
          </w:p>
        </w:tc>
        <w:tc>
          <w:tcPr>
            <w:tcW w:w="2693" w:type="dxa"/>
          </w:tcPr>
          <w:p>
            <w:pPr>
              <w:rPr>
                <w:sz w:val="24"/>
                <w:szCs w:val="24"/>
              </w:rPr>
            </w:pPr>
            <w:r>
              <w:rPr>
                <w:sz w:val="24"/>
                <w:szCs w:val="24"/>
              </w:rPr>
              <w:t>教务处</w:t>
            </w:r>
            <w:r>
              <w:rPr>
                <w:rFonts w:hint="eastAsia"/>
                <w:sz w:val="24"/>
                <w:szCs w:val="24"/>
              </w:rPr>
              <w:t>、</w:t>
            </w:r>
            <w:r>
              <w:rPr>
                <w:sz w:val="24"/>
                <w:szCs w:val="24"/>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Pr>
          <w:p>
            <w:pPr>
              <w:widowControl/>
              <w:shd w:val="clear" w:color="auto" w:fill="FFFFFF"/>
              <w:spacing w:line="360" w:lineRule="auto"/>
              <w:jc w:val="left"/>
              <w:rPr>
                <w:rFonts w:ascii="Arial" w:hAnsi="Arial" w:eastAsia="宋体" w:cs="Arial"/>
                <w:b/>
                <w:color w:val="333333"/>
                <w:kern w:val="0"/>
                <w:sz w:val="24"/>
                <w:szCs w:val="24"/>
              </w:rPr>
            </w:pPr>
            <w:r>
              <w:rPr>
                <w:rFonts w:ascii="Arial" w:hAnsi="Arial" w:eastAsia="宋体" w:cs="Arial"/>
                <w:b/>
                <w:color w:val="333333"/>
                <w:kern w:val="0"/>
                <w:sz w:val="24"/>
                <w:szCs w:val="24"/>
              </w:rPr>
              <w:t>七、做好改革组织实施工作</w:t>
            </w:r>
          </w:p>
          <w:p>
            <w:pPr>
              <w:rPr>
                <w:sz w:val="24"/>
                <w:szCs w:val="24"/>
              </w:rPr>
            </w:pPr>
          </w:p>
        </w:tc>
        <w:tc>
          <w:tcPr>
            <w:tcW w:w="851" w:type="dxa"/>
            <w:vMerge w:val="restart"/>
          </w:tcPr>
          <w:p>
            <w:pPr>
              <w:rPr>
                <w:rFonts w:ascii="Arial" w:hAnsi="Arial" w:cs="Arial"/>
                <w:color w:val="333333"/>
                <w:kern w:val="0"/>
                <w:sz w:val="24"/>
                <w:szCs w:val="24"/>
              </w:rPr>
            </w:pPr>
            <w:r>
              <w:rPr>
                <w:rFonts w:ascii="Arial" w:hAnsi="Arial" w:eastAsia="宋体" w:cs="Arial"/>
                <w:color w:val="333333"/>
                <w:kern w:val="0"/>
                <w:sz w:val="24"/>
                <w:szCs w:val="24"/>
              </w:rPr>
              <w:t>（十九）加强党对职业教育工作的全面领导</w:t>
            </w:r>
          </w:p>
        </w:tc>
        <w:tc>
          <w:tcPr>
            <w:tcW w:w="3342" w:type="dxa"/>
          </w:tcPr>
          <w:p>
            <w:pPr>
              <w:rPr>
                <w:sz w:val="24"/>
                <w:szCs w:val="24"/>
              </w:rPr>
            </w:pPr>
            <w:r>
              <w:rPr>
                <w:rFonts w:hint="eastAsia"/>
                <w:sz w:val="24"/>
                <w:szCs w:val="24"/>
              </w:rPr>
              <w:t>1.</w:t>
            </w:r>
            <w:r>
              <w:rPr>
                <w:rFonts w:ascii="Arial" w:hAnsi="Arial" w:cs="Arial"/>
                <w:color w:val="333333"/>
                <w:kern w:val="0"/>
                <w:sz w:val="24"/>
                <w:szCs w:val="24"/>
              </w:rPr>
              <w:t xml:space="preserve"> </w:t>
            </w:r>
            <w:r>
              <w:rPr>
                <w:rFonts w:ascii="Arial" w:hAnsi="Arial" w:eastAsia="宋体" w:cs="Arial"/>
                <w:color w:val="333333"/>
                <w:kern w:val="0"/>
                <w:sz w:val="24"/>
                <w:szCs w:val="24"/>
              </w:rPr>
              <w:t>以习近平新时代中国特色社会主义思想特别是习近平总书记关于职业教育的重要论述武装头脑、指导实践、推动工作。</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党委宣传部</w:t>
            </w:r>
          </w:p>
        </w:tc>
        <w:tc>
          <w:tcPr>
            <w:tcW w:w="2693" w:type="dxa"/>
          </w:tcPr>
          <w:p>
            <w:pPr>
              <w:rPr>
                <w:sz w:val="24"/>
                <w:szCs w:val="24"/>
              </w:rPr>
            </w:pPr>
            <w:r>
              <w:rPr>
                <w:rFonts w:hint="eastAsia"/>
                <w:sz w:val="24"/>
                <w:szCs w:val="24"/>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rPr>
                <w:sz w:val="24"/>
                <w:szCs w:val="24"/>
              </w:rPr>
            </w:pPr>
            <w:r>
              <w:rPr>
                <w:rFonts w:hint="eastAsia"/>
                <w:sz w:val="24"/>
                <w:szCs w:val="24"/>
              </w:rPr>
              <w:t>2.</w:t>
            </w:r>
            <w:r>
              <w:rPr>
                <w:rFonts w:ascii="Arial" w:hAnsi="Arial" w:cs="Arial"/>
                <w:color w:val="333333"/>
                <w:kern w:val="0"/>
                <w:sz w:val="24"/>
                <w:szCs w:val="24"/>
              </w:rPr>
              <w:t xml:space="preserve"> </w:t>
            </w:r>
            <w:r>
              <w:rPr>
                <w:rFonts w:ascii="Arial" w:hAnsi="Arial" w:eastAsia="宋体" w:cs="Arial"/>
                <w:color w:val="333333"/>
                <w:kern w:val="0"/>
                <w:sz w:val="24"/>
                <w:szCs w:val="24"/>
              </w:rPr>
              <w:t>加强党对教育事业的全面领导，全面贯彻党的教育方针，落实中央教育工作领导小组各项要求，保证职业教育改革发展正确方向。</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党委组织部</w:t>
            </w:r>
          </w:p>
        </w:tc>
        <w:tc>
          <w:tcPr>
            <w:tcW w:w="2693" w:type="dxa"/>
          </w:tcPr>
          <w:p>
            <w:pPr>
              <w:rPr>
                <w:sz w:val="24"/>
                <w:szCs w:val="24"/>
              </w:rPr>
            </w:pPr>
            <w:r>
              <w:rPr>
                <w:rFonts w:hint="eastAsia"/>
                <w:sz w:val="24"/>
                <w:szCs w:val="24"/>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rPr>
                <w:sz w:val="24"/>
                <w:szCs w:val="24"/>
              </w:rPr>
            </w:pPr>
            <w:r>
              <w:rPr>
                <w:rFonts w:hint="eastAsia"/>
                <w:sz w:val="24"/>
                <w:szCs w:val="24"/>
              </w:rPr>
              <w:t>3.</w:t>
            </w:r>
            <w:r>
              <w:rPr>
                <w:rFonts w:ascii="Arial" w:hAnsi="Arial" w:cs="Arial"/>
                <w:color w:val="333333"/>
                <w:kern w:val="0"/>
                <w:sz w:val="24"/>
                <w:szCs w:val="24"/>
              </w:rPr>
              <w:t xml:space="preserve"> </w:t>
            </w:r>
            <w:r>
              <w:rPr>
                <w:rFonts w:ascii="Arial" w:hAnsi="Arial" w:eastAsia="宋体" w:cs="Arial"/>
                <w:color w:val="333333"/>
                <w:kern w:val="0"/>
                <w:sz w:val="24"/>
                <w:szCs w:val="24"/>
              </w:rPr>
              <w:t>要充分发挥党组织在职业院校的领导核心和政治核心作用，牢牢把握学校意识形态工作领导权，将党建工作与学校事业发展同部署、同落实、同考评。</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党委组织部</w:t>
            </w:r>
          </w:p>
        </w:tc>
        <w:tc>
          <w:tcPr>
            <w:tcW w:w="2693" w:type="dxa"/>
          </w:tcPr>
          <w:p>
            <w:pPr>
              <w:rPr>
                <w:sz w:val="24"/>
                <w:szCs w:val="24"/>
              </w:rPr>
            </w:pPr>
            <w:r>
              <w:rPr>
                <w:rFonts w:hint="eastAsia"/>
                <w:sz w:val="24"/>
                <w:szCs w:val="24"/>
              </w:rPr>
              <w:t>各党总支、党支部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rPr>
                <w:sz w:val="24"/>
                <w:szCs w:val="24"/>
              </w:rPr>
            </w:pPr>
            <w:r>
              <w:rPr>
                <w:rFonts w:hint="eastAsia"/>
                <w:sz w:val="24"/>
                <w:szCs w:val="24"/>
              </w:rPr>
              <w:t>4.</w:t>
            </w:r>
            <w:r>
              <w:rPr>
                <w:rFonts w:ascii="Arial" w:hAnsi="Arial" w:cs="Arial"/>
                <w:color w:val="333333"/>
                <w:kern w:val="0"/>
                <w:sz w:val="24"/>
                <w:szCs w:val="24"/>
              </w:rPr>
              <w:t xml:space="preserve"> </w:t>
            </w:r>
            <w:r>
              <w:rPr>
                <w:rFonts w:ascii="Arial" w:hAnsi="Arial" w:eastAsia="宋体" w:cs="Arial"/>
                <w:color w:val="333333"/>
                <w:kern w:val="0"/>
                <w:sz w:val="24"/>
                <w:szCs w:val="24"/>
              </w:rPr>
              <w:t>推进职业教育领域“三全育人”综合改革试点工作，使各类课程与思想政治理论课同向同行，努力实现职业技能和职业精神培养高度融合。</w:t>
            </w: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党委宣传部</w:t>
            </w:r>
          </w:p>
        </w:tc>
        <w:tc>
          <w:tcPr>
            <w:tcW w:w="2693" w:type="dxa"/>
          </w:tcPr>
          <w:p>
            <w:pPr>
              <w:rPr>
                <w:sz w:val="24"/>
                <w:szCs w:val="24"/>
              </w:rPr>
            </w:pPr>
            <w:r>
              <w:rPr>
                <w:rFonts w:hint="eastAsia"/>
                <w:sz w:val="24"/>
                <w:szCs w:val="24"/>
              </w:rPr>
              <w:t>教务处、学生处、马克思主义学院、各二级学院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sz w:val="24"/>
                <w:szCs w:val="24"/>
              </w:rPr>
            </w:pPr>
          </w:p>
        </w:tc>
        <w:tc>
          <w:tcPr>
            <w:tcW w:w="851" w:type="dxa"/>
            <w:vMerge w:val="continue"/>
          </w:tcPr>
          <w:p>
            <w:pPr>
              <w:rPr>
                <w:rFonts w:ascii="Arial" w:hAnsi="Arial" w:cs="Arial"/>
                <w:color w:val="333333"/>
                <w:kern w:val="0"/>
                <w:sz w:val="24"/>
                <w:szCs w:val="24"/>
              </w:rPr>
            </w:pPr>
          </w:p>
        </w:tc>
        <w:tc>
          <w:tcPr>
            <w:tcW w:w="3342" w:type="dxa"/>
          </w:tcPr>
          <w:p>
            <w:pPr>
              <w:widowControl/>
              <w:shd w:val="clear" w:color="auto" w:fill="FFFFFF"/>
              <w:adjustRightInd w:val="0"/>
              <w:snapToGrid w:val="0"/>
              <w:jc w:val="left"/>
              <w:rPr>
                <w:rFonts w:ascii="Arial" w:hAnsi="Arial" w:eastAsia="宋体" w:cs="Arial"/>
                <w:color w:val="333333"/>
                <w:kern w:val="0"/>
                <w:sz w:val="24"/>
                <w:szCs w:val="24"/>
              </w:rPr>
            </w:pPr>
            <w:r>
              <w:rPr>
                <w:rFonts w:hint="eastAsia"/>
                <w:sz w:val="24"/>
                <w:szCs w:val="24"/>
              </w:rPr>
              <w:t>5.</w:t>
            </w:r>
            <w:r>
              <w:rPr>
                <w:rFonts w:ascii="Arial" w:hAnsi="Arial" w:cs="Arial"/>
                <w:color w:val="333333"/>
                <w:kern w:val="0"/>
                <w:sz w:val="24"/>
                <w:szCs w:val="24"/>
              </w:rPr>
              <w:t xml:space="preserve"> </w:t>
            </w:r>
            <w:r>
              <w:rPr>
                <w:rFonts w:ascii="Arial" w:hAnsi="Arial" w:eastAsia="宋体" w:cs="Arial"/>
                <w:color w:val="333333"/>
                <w:kern w:val="0"/>
                <w:sz w:val="24"/>
                <w:szCs w:val="24"/>
              </w:rPr>
              <w:t>加强基层党组织建设，有效发挥基层党组织的战斗堡垒作用和共产党员的先锋模范作用，带动学校工会、共青团等群团组织和学生会组织建设，汇聚每一位师生员工的积极性和主动性。</w:t>
            </w:r>
          </w:p>
          <w:p>
            <w:pPr>
              <w:rPr>
                <w:sz w:val="24"/>
                <w:szCs w:val="24"/>
              </w:rPr>
            </w:pPr>
          </w:p>
        </w:tc>
        <w:tc>
          <w:tcPr>
            <w:tcW w:w="2083" w:type="dxa"/>
          </w:tcPr>
          <w:p>
            <w:pPr>
              <w:rPr>
                <w:sz w:val="24"/>
                <w:szCs w:val="24"/>
              </w:rPr>
            </w:pPr>
          </w:p>
        </w:tc>
        <w:tc>
          <w:tcPr>
            <w:tcW w:w="2371" w:type="dxa"/>
          </w:tcPr>
          <w:p>
            <w:pPr>
              <w:rPr>
                <w:sz w:val="24"/>
                <w:szCs w:val="24"/>
              </w:rPr>
            </w:pPr>
          </w:p>
        </w:tc>
        <w:tc>
          <w:tcPr>
            <w:tcW w:w="1276" w:type="dxa"/>
          </w:tcPr>
          <w:p>
            <w:pPr>
              <w:rPr>
                <w:sz w:val="24"/>
                <w:szCs w:val="24"/>
              </w:rPr>
            </w:pPr>
            <w:r>
              <w:rPr>
                <w:rFonts w:hint="eastAsia"/>
                <w:sz w:val="24"/>
                <w:szCs w:val="24"/>
              </w:rPr>
              <w:t>党委组织部</w:t>
            </w:r>
          </w:p>
        </w:tc>
        <w:tc>
          <w:tcPr>
            <w:tcW w:w="2693" w:type="dxa"/>
          </w:tcPr>
          <w:p>
            <w:pPr>
              <w:rPr>
                <w:sz w:val="24"/>
                <w:szCs w:val="24"/>
              </w:rPr>
            </w:pPr>
            <w:r>
              <w:rPr>
                <w:rFonts w:hint="eastAsia"/>
                <w:sz w:val="24"/>
                <w:szCs w:val="24"/>
              </w:rPr>
              <w:t>工会、离退休工作处、团委</w:t>
            </w:r>
          </w:p>
        </w:tc>
      </w:tr>
    </w:tbl>
    <w:p>
      <w:pPr>
        <w:widowControl/>
        <w:jc w:val="left"/>
        <w:rPr>
          <w:rFonts w:ascii="方正小标宋_GBK" w:eastAsia="方正小标宋_GBK"/>
          <w:b/>
          <w:sz w:val="44"/>
          <w:szCs w:val="44"/>
        </w:rPr>
      </w:pPr>
    </w:p>
    <w:sectPr>
      <w:footerReference r:id="rId3"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gCksYBAABrAwAADgAAAGRycy9lMm9Eb2MueG1srVNLbtswEN0X6B0I&#10;7mMpAlK4gukgQZCiQNEWSHsAmiItAiSHIGlL7gHaG3TVTfc9l8/RIS05RbMLsqGG83nz3nC0uh6t&#10;IXsZogbH6OWipkQ6AZ12W0a/frm/WFISE3cdN+AkowcZ6fX69avV4FvZQA+mk4EgiIvt4BntU/Jt&#10;VUXRS8vjArx0GFQQLE94DduqC3xAdGuqpq7fVAOEzgcQMkb03p2CdF3wlZIifVIqykQMo8gtlTOU&#10;c5PPar3i7TZw32sx0eDPYGG5dtj0DHXHEye7oJ9AWS0CRFBpIcBWoJQWsmhANZf1f2oeeu5l0YLD&#10;if48pvhysOLj/nMgusO3o8Rxi090/Pnj+OvP8fd30uTxDD62mPXgMS+NtzDm1Mkf0ZlVjyrY/EU9&#10;BOM46MN5uHJMROSiZbNc1hgSGJsviFM9lvsQ0zsJlmSD0YCvV4bK9x9iOqXOKbmbg3ttDPp5axwZ&#10;GH171VyVgnMEwY3DHlnEiWy20rgZJwUb6A4oDDcYG/YQvlEy4DYw6nBdKTHvHQ47L85shNnYzAZ3&#10;AgsZTZTsfNDbvixZZhX9zS4hycI9Nz51m/jgixb10/bllfn3XrIe/5H1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C+AKSxgEAAGsDAAAOAAAAAAAAAAEAIAAAAB4BAABkcnMvZTJvRG9jLnht&#10;bFBLBQYAAAAABgAGAFkBAABWBQAAAAA=&#1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BB6D7"/>
    <w:multiLevelType w:val="singleLevel"/>
    <w:tmpl w:val="8B6BB6D7"/>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linkStyl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3089D"/>
    <w:rsid w:val="00000A5D"/>
    <w:rsid w:val="00021E5E"/>
    <w:rsid w:val="000478EB"/>
    <w:rsid w:val="00055F56"/>
    <w:rsid w:val="00073F5F"/>
    <w:rsid w:val="00074366"/>
    <w:rsid w:val="000862EC"/>
    <w:rsid w:val="00091FFF"/>
    <w:rsid w:val="00092B14"/>
    <w:rsid w:val="00093A84"/>
    <w:rsid w:val="000A3C27"/>
    <w:rsid w:val="000C7949"/>
    <w:rsid w:val="000E6197"/>
    <w:rsid w:val="000F5313"/>
    <w:rsid w:val="0012462D"/>
    <w:rsid w:val="00125545"/>
    <w:rsid w:val="0013618B"/>
    <w:rsid w:val="00153CBC"/>
    <w:rsid w:val="00160DE7"/>
    <w:rsid w:val="00166947"/>
    <w:rsid w:val="00167240"/>
    <w:rsid w:val="001749FB"/>
    <w:rsid w:val="001808C3"/>
    <w:rsid w:val="00193A92"/>
    <w:rsid w:val="00195D60"/>
    <w:rsid w:val="001A4995"/>
    <w:rsid w:val="001A7C5F"/>
    <w:rsid w:val="001C07B6"/>
    <w:rsid w:val="001C6778"/>
    <w:rsid w:val="001D21CA"/>
    <w:rsid w:val="001D739E"/>
    <w:rsid w:val="001E6AC2"/>
    <w:rsid w:val="001F1F65"/>
    <w:rsid w:val="001F2CAD"/>
    <w:rsid w:val="00220540"/>
    <w:rsid w:val="00233B1A"/>
    <w:rsid w:val="00240E72"/>
    <w:rsid w:val="00245D58"/>
    <w:rsid w:val="002570FF"/>
    <w:rsid w:val="0028061F"/>
    <w:rsid w:val="00286D23"/>
    <w:rsid w:val="00296F47"/>
    <w:rsid w:val="002B5A95"/>
    <w:rsid w:val="002B5DCA"/>
    <w:rsid w:val="002E48AF"/>
    <w:rsid w:val="002E5D71"/>
    <w:rsid w:val="00323404"/>
    <w:rsid w:val="00325C41"/>
    <w:rsid w:val="0033404F"/>
    <w:rsid w:val="0033520A"/>
    <w:rsid w:val="00335D5D"/>
    <w:rsid w:val="003415E9"/>
    <w:rsid w:val="00356652"/>
    <w:rsid w:val="00362314"/>
    <w:rsid w:val="00362A4C"/>
    <w:rsid w:val="00362C28"/>
    <w:rsid w:val="00370D54"/>
    <w:rsid w:val="00391F03"/>
    <w:rsid w:val="003934EF"/>
    <w:rsid w:val="003B6F4D"/>
    <w:rsid w:val="003C3690"/>
    <w:rsid w:val="003E116D"/>
    <w:rsid w:val="003E25F7"/>
    <w:rsid w:val="003E3612"/>
    <w:rsid w:val="0040168B"/>
    <w:rsid w:val="0040344B"/>
    <w:rsid w:val="004124CB"/>
    <w:rsid w:val="00436F4C"/>
    <w:rsid w:val="0044218C"/>
    <w:rsid w:val="00492E73"/>
    <w:rsid w:val="00495A32"/>
    <w:rsid w:val="004B3893"/>
    <w:rsid w:val="004C36C1"/>
    <w:rsid w:val="004C3D02"/>
    <w:rsid w:val="004C5374"/>
    <w:rsid w:val="005157AA"/>
    <w:rsid w:val="00516C38"/>
    <w:rsid w:val="00516D1E"/>
    <w:rsid w:val="00523D36"/>
    <w:rsid w:val="00524493"/>
    <w:rsid w:val="00535BBE"/>
    <w:rsid w:val="00536D09"/>
    <w:rsid w:val="00542267"/>
    <w:rsid w:val="005453D0"/>
    <w:rsid w:val="0055232B"/>
    <w:rsid w:val="005538C4"/>
    <w:rsid w:val="0055790B"/>
    <w:rsid w:val="005629C7"/>
    <w:rsid w:val="00563071"/>
    <w:rsid w:val="00575CFE"/>
    <w:rsid w:val="005760AE"/>
    <w:rsid w:val="005825BC"/>
    <w:rsid w:val="0058399A"/>
    <w:rsid w:val="0058586D"/>
    <w:rsid w:val="00586212"/>
    <w:rsid w:val="005A2532"/>
    <w:rsid w:val="005B6CD0"/>
    <w:rsid w:val="005D21DC"/>
    <w:rsid w:val="005D42D6"/>
    <w:rsid w:val="005E0F16"/>
    <w:rsid w:val="005F2214"/>
    <w:rsid w:val="00603436"/>
    <w:rsid w:val="006057D0"/>
    <w:rsid w:val="006139B0"/>
    <w:rsid w:val="006144CF"/>
    <w:rsid w:val="00614EB9"/>
    <w:rsid w:val="00616ACA"/>
    <w:rsid w:val="00623B72"/>
    <w:rsid w:val="00641B66"/>
    <w:rsid w:val="00646951"/>
    <w:rsid w:val="00656711"/>
    <w:rsid w:val="006735C1"/>
    <w:rsid w:val="0067448E"/>
    <w:rsid w:val="006879FF"/>
    <w:rsid w:val="006A09A5"/>
    <w:rsid w:val="006B1332"/>
    <w:rsid w:val="006B58D9"/>
    <w:rsid w:val="006B7740"/>
    <w:rsid w:val="006D4C3A"/>
    <w:rsid w:val="0070089B"/>
    <w:rsid w:val="00703BA6"/>
    <w:rsid w:val="0072260E"/>
    <w:rsid w:val="00730AED"/>
    <w:rsid w:val="00746F8D"/>
    <w:rsid w:val="00765516"/>
    <w:rsid w:val="007764B4"/>
    <w:rsid w:val="00776995"/>
    <w:rsid w:val="0078259C"/>
    <w:rsid w:val="0078461D"/>
    <w:rsid w:val="007A3A5A"/>
    <w:rsid w:val="007D7D2D"/>
    <w:rsid w:val="007E7C10"/>
    <w:rsid w:val="007F2212"/>
    <w:rsid w:val="007F6D2B"/>
    <w:rsid w:val="008113E7"/>
    <w:rsid w:val="008344AC"/>
    <w:rsid w:val="00835D87"/>
    <w:rsid w:val="00874BC4"/>
    <w:rsid w:val="008A5252"/>
    <w:rsid w:val="008C0E7D"/>
    <w:rsid w:val="008C3030"/>
    <w:rsid w:val="008C613C"/>
    <w:rsid w:val="008C67A7"/>
    <w:rsid w:val="008D0275"/>
    <w:rsid w:val="008D4755"/>
    <w:rsid w:val="008E4587"/>
    <w:rsid w:val="008F6D3C"/>
    <w:rsid w:val="00910D3D"/>
    <w:rsid w:val="0091197E"/>
    <w:rsid w:val="00923D3D"/>
    <w:rsid w:val="00925DAB"/>
    <w:rsid w:val="00927DC6"/>
    <w:rsid w:val="00933BEC"/>
    <w:rsid w:val="00952615"/>
    <w:rsid w:val="00961A78"/>
    <w:rsid w:val="00961B47"/>
    <w:rsid w:val="009730F5"/>
    <w:rsid w:val="00974848"/>
    <w:rsid w:val="0099531D"/>
    <w:rsid w:val="009A08C0"/>
    <w:rsid w:val="009E3619"/>
    <w:rsid w:val="009E642B"/>
    <w:rsid w:val="00A0361B"/>
    <w:rsid w:val="00A05D32"/>
    <w:rsid w:val="00A10F74"/>
    <w:rsid w:val="00A1148E"/>
    <w:rsid w:val="00A20879"/>
    <w:rsid w:val="00A2571B"/>
    <w:rsid w:val="00A4011C"/>
    <w:rsid w:val="00A44B75"/>
    <w:rsid w:val="00A5523F"/>
    <w:rsid w:val="00A62B25"/>
    <w:rsid w:val="00A65B0B"/>
    <w:rsid w:val="00A73777"/>
    <w:rsid w:val="00A7561A"/>
    <w:rsid w:val="00A830E9"/>
    <w:rsid w:val="00A9752B"/>
    <w:rsid w:val="00A97D8A"/>
    <w:rsid w:val="00A97DE6"/>
    <w:rsid w:val="00AB3333"/>
    <w:rsid w:val="00AB3DA9"/>
    <w:rsid w:val="00AB7DB3"/>
    <w:rsid w:val="00AC2DEE"/>
    <w:rsid w:val="00AF0CAC"/>
    <w:rsid w:val="00AF0FE1"/>
    <w:rsid w:val="00AF2F5A"/>
    <w:rsid w:val="00B20435"/>
    <w:rsid w:val="00B31F11"/>
    <w:rsid w:val="00B45D30"/>
    <w:rsid w:val="00B511AE"/>
    <w:rsid w:val="00BA6BCF"/>
    <w:rsid w:val="00BB6194"/>
    <w:rsid w:val="00BC33B8"/>
    <w:rsid w:val="00BD32B3"/>
    <w:rsid w:val="00BD4DD4"/>
    <w:rsid w:val="00BF2B49"/>
    <w:rsid w:val="00BF5693"/>
    <w:rsid w:val="00C32260"/>
    <w:rsid w:val="00C404D6"/>
    <w:rsid w:val="00C6592C"/>
    <w:rsid w:val="00C662D2"/>
    <w:rsid w:val="00C75BF8"/>
    <w:rsid w:val="00C909FF"/>
    <w:rsid w:val="00C965F4"/>
    <w:rsid w:val="00CA2476"/>
    <w:rsid w:val="00CA2F2A"/>
    <w:rsid w:val="00CF774F"/>
    <w:rsid w:val="00D23A36"/>
    <w:rsid w:val="00D3089D"/>
    <w:rsid w:val="00D34A4E"/>
    <w:rsid w:val="00D50B5D"/>
    <w:rsid w:val="00D61745"/>
    <w:rsid w:val="00D63027"/>
    <w:rsid w:val="00D63C0B"/>
    <w:rsid w:val="00D63D7E"/>
    <w:rsid w:val="00DB77AD"/>
    <w:rsid w:val="00DD1702"/>
    <w:rsid w:val="00DD3129"/>
    <w:rsid w:val="00DD3586"/>
    <w:rsid w:val="00DE50BB"/>
    <w:rsid w:val="00DE5320"/>
    <w:rsid w:val="00DE7C83"/>
    <w:rsid w:val="00E056F3"/>
    <w:rsid w:val="00E05E96"/>
    <w:rsid w:val="00E06771"/>
    <w:rsid w:val="00E115EE"/>
    <w:rsid w:val="00E14911"/>
    <w:rsid w:val="00E4010E"/>
    <w:rsid w:val="00E40991"/>
    <w:rsid w:val="00E425C0"/>
    <w:rsid w:val="00E47273"/>
    <w:rsid w:val="00E655A5"/>
    <w:rsid w:val="00E6637A"/>
    <w:rsid w:val="00E874FE"/>
    <w:rsid w:val="00E9609D"/>
    <w:rsid w:val="00EA75E3"/>
    <w:rsid w:val="00EB5B5A"/>
    <w:rsid w:val="00EB66E4"/>
    <w:rsid w:val="00EC4CCC"/>
    <w:rsid w:val="00EE23C2"/>
    <w:rsid w:val="00EE2A3D"/>
    <w:rsid w:val="00F10583"/>
    <w:rsid w:val="00F147F5"/>
    <w:rsid w:val="00F248EC"/>
    <w:rsid w:val="00F31006"/>
    <w:rsid w:val="00F3105A"/>
    <w:rsid w:val="00F4502E"/>
    <w:rsid w:val="00F54634"/>
    <w:rsid w:val="00F546CA"/>
    <w:rsid w:val="00F6680B"/>
    <w:rsid w:val="00F9263F"/>
    <w:rsid w:val="00F92807"/>
    <w:rsid w:val="00FB5C5D"/>
    <w:rsid w:val="00FC12A1"/>
    <w:rsid w:val="00FD3671"/>
    <w:rsid w:val="00FE4D0A"/>
    <w:rsid w:val="1D8B0FE9"/>
    <w:rsid w:val="2D9452F3"/>
    <w:rsid w:val="50C141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character" w:customStyle="1" w:styleId="11">
    <w:name w:val="标题 Char"/>
    <w:basedOn w:val="7"/>
    <w:link w:val="4"/>
    <w:qFormat/>
    <w:uiPriority w:val="1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BB81AC-B6ED-4978-8E6C-BFAE823455F2}">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16</Pages>
  <Words>983</Words>
  <Characters>5608</Characters>
  <Lines>46</Lines>
  <Paragraphs>13</Paragraphs>
  <TotalTime>4</TotalTime>
  <ScaleCrop>false</ScaleCrop>
  <LinksUpToDate>false</LinksUpToDate>
  <CharactersWithSpaces>6578</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2019-02-23T04:04:00Z</dcterms:created>
  <dc:creator>Hewlett-Packard Company</dc:creator>
  <cp:lastModifiedBy>Administrator</cp:lastModifiedBy>
  <cp:lastPrinted>2019-07-08T07:51:00Z</cp:lastPrinted>
  <dcterms:modified xsi:type="dcterms:W3CDTF">2019-10-16T07:49:57Z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